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4202A" w14:textId="1BCF183E" w:rsidR="003D1339" w:rsidRPr="00860F25" w:rsidRDefault="003D1339" w:rsidP="003D1339">
      <w:pPr>
        <w:spacing w:line="360" w:lineRule="atLeast"/>
        <w:jc w:val="center"/>
        <w:rPr>
          <w:rFonts w:ascii="Times New Roman" w:hAnsi="Times New Roman" w:cs="Times New Roman"/>
          <w:sz w:val="24"/>
          <w:szCs w:val="24"/>
        </w:rPr>
      </w:pPr>
      <w:r>
        <w:rPr>
          <w:rFonts w:ascii="Times New Roman" w:hAnsi="Times New Roman" w:cs="Times New Roman"/>
          <w:sz w:val="24"/>
          <w:szCs w:val="24"/>
        </w:rPr>
        <w:t>PROPERTY</w:t>
      </w:r>
    </w:p>
    <w:p w14:paraId="6CD2CA0A" w14:textId="77777777" w:rsidR="003D1339" w:rsidRPr="00860F25" w:rsidRDefault="003D1339" w:rsidP="003D1339">
      <w:pPr>
        <w:spacing w:line="360" w:lineRule="atLeast"/>
        <w:rPr>
          <w:rFonts w:ascii="Times New Roman" w:hAnsi="Times New Roman" w:cs="Times New Roman"/>
          <w:sz w:val="24"/>
          <w:szCs w:val="24"/>
        </w:rPr>
      </w:pPr>
      <w:r w:rsidRPr="00860F25">
        <w:rPr>
          <w:rFonts w:ascii="Times New Roman" w:hAnsi="Times New Roman" w:cs="Times New Roman"/>
          <w:sz w:val="24"/>
          <w:szCs w:val="24"/>
        </w:rPr>
        <w:t>PROFESSOR  KLERMAN</w:t>
      </w:r>
      <w:r w:rsidRPr="00860F25">
        <w:rPr>
          <w:rFonts w:ascii="Times New Roman" w:hAnsi="Times New Roman" w:cs="Times New Roman"/>
          <w:sz w:val="24"/>
          <w:szCs w:val="24"/>
        </w:rPr>
        <w:tab/>
      </w:r>
      <w:r w:rsidRPr="00860F25">
        <w:rPr>
          <w:rFonts w:ascii="Times New Roman" w:hAnsi="Times New Roman" w:cs="Times New Roman"/>
          <w:sz w:val="24"/>
          <w:szCs w:val="24"/>
        </w:rPr>
        <w:tab/>
        <w:t xml:space="preserve"> </w:t>
      </w:r>
      <w:r w:rsidRPr="00860F25">
        <w:rPr>
          <w:rFonts w:ascii="Times New Roman" w:hAnsi="Times New Roman" w:cs="Times New Roman"/>
          <w:sz w:val="24"/>
          <w:szCs w:val="24"/>
        </w:rPr>
        <w:tab/>
      </w:r>
      <w:r w:rsidRPr="00860F25">
        <w:rPr>
          <w:rFonts w:ascii="Times New Roman" w:hAnsi="Times New Roman" w:cs="Times New Roman"/>
          <w:sz w:val="24"/>
          <w:szCs w:val="24"/>
        </w:rPr>
        <w:tab/>
      </w:r>
      <w:r w:rsidRPr="00860F25">
        <w:rPr>
          <w:rFonts w:ascii="Times New Roman" w:hAnsi="Times New Roman" w:cs="Times New Roman"/>
          <w:sz w:val="24"/>
          <w:szCs w:val="24"/>
        </w:rPr>
        <w:tab/>
        <w:t xml:space="preserve">   </w:t>
      </w:r>
      <w:r w:rsidRPr="00860F25">
        <w:rPr>
          <w:rFonts w:ascii="Times New Roman" w:hAnsi="Times New Roman" w:cs="Times New Roman"/>
          <w:sz w:val="24"/>
          <w:szCs w:val="24"/>
        </w:rPr>
        <w:tab/>
      </w:r>
      <w:r w:rsidRPr="00860F25">
        <w:rPr>
          <w:rFonts w:ascii="Times New Roman" w:hAnsi="Times New Roman" w:cs="Times New Roman"/>
          <w:sz w:val="24"/>
          <w:szCs w:val="24"/>
        </w:rPr>
        <w:tab/>
        <w:t xml:space="preserve">     FALL 2018</w:t>
      </w:r>
    </w:p>
    <w:p w14:paraId="6D9DD937" w14:textId="3937700C" w:rsidR="003D1339" w:rsidRPr="00860F25" w:rsidRDefault="003D1339" w:rsidP="003D1339">
      <w:pPr>
        <w:spacing w:line="360" w:lineRule="atLeast"/>
        <w:jc w:val="center"/>
        <w:rPr>
          <w:rFonts w:ascii="Times New Roman" w:hAnsi="Times New Roman" w:cs="Times New Roman"/>
          <w:sz w:val="24"/>
          <w:szCs w:val="24"/>
        </w:rPr>
      </w:pPr>
      <w:r w:rsidRPr="00860F25">
        <w:rPr>
          <w:rFonts w:ascii="Times New Roman" w:hAnsi="Times New Roman" w:cs="Times New Roman"/>
          <w:sz w:val="24"/>
          <w:szCs w:val="24"/>
        </w:rPr>
        <w:t xml:space="preserve">DECEMBER </w:t>
      </w:r>
      <w:r>
        <w:rPr>
          <w:rFonts w:ascii="Times New Roman" w:hAnsi="Times New Roman" w:cs="Times New Roman"/>
          <w:sz w:val="24"/>
          <w:szCs w:val="24"/>
        </w:rPr>
        <w:t>11</w:t>
      </w:r>
      <w:r w:rsidRPr="00860F25">
        <w:rPr>
          <w:rFonts w:ascii="Times New Roman" w:hAnsi="Times New Roman" w:cs="Times New Roman"/>
          <w:sz w:val="24"/>
          <w:szCs w:val="24"/>
        </w:rPr>
        <w:t>, 201</w:t>
      </w:r>
      <w:r>
        <w:rPr>
          <w:rFonts w:ascii="Times New Roman" w:hAnsi="Times New Roman" w:cs="Times New Roman"/>
          <w:sz w:val="24"/>
          <w:szCs w:val="24"/>
        </w:rPr>
        <w:t>8</w:t>
      </w:r>
    </w:p>
    <w:p w14:paraId="5BA30F49" w14:textId="77777777" w:rsidR="003D1339" w:rsidRPr="00860F25" w:rsidRDefault="003D1339" w:rsidP="003D1339">
      <w:pPr>
        <w:spacing w:line="360" w:lineRule="atLeast"/>
        <w:jc w:val="center"/>
        <w:rPr>
          <w:rFonts w:ascii="Times New Roman" w:hAnsi="Times New Roman" w:cs="Times New Roman"/>
          <w:sz w:val="24"/>
          <w:szCs w:val="24"/>
        </w:rPr>
      </w:pPr>
      <w:r w:rsidRPr="00860F25">
        <w:rPr>
          <w:rFonts w:ascii="Times New Roman" w:hAnsi="Times New Roman" w:cs="Times New Roman"/>
          <w:sz w:val="24"/>
          <w:szCs w:val="24"/>
        </w:rPr>
        <w:t>OPEN BOOK</w:t>
      </w:r>
    </w:p>
    <w:p w14:paraId="198E4A8C" w14:textId="77777777" w:rsidR="003D1339" w:rsidRPr="00860F25" w:rsidRDefault="003D1339" w:rsidP="003D1339">
      <w:pPr>
        <w:spacing w:line="360" w:lineRule="atLeast"/>
        <w:jc w:val="center"/>
        <w:rPr>
          <w:rFonts w:ascii="Times New Roman" w:hAnsi="Times New Roman" w:cs="Times New Roman"/>
          <w:sz w:val="24"/>
          <w:szCs w:val="24"/>
        </w:rPr>
      </w:pPr>
      <w:r w:rsidRPr="00860F25">
        <w:rPr>
          <w:rFonts w:ascii="Times New Roman" w:hAnsi="Times New Roman" w:cs="Times New Roman"/>
          <w:sz w:val="24"/>
          <w:szCs w:val="24"/>
        </w:rPr>
        <w:t>8 HOUR TAKE-HOME</w:t>
      </w:r>
    </w:p>
    <w:p w14:paraId="1D2F7217" w14:textId="0E1761A3" w:rsidR="003D1339" w:rsidRPr="003D1339" w:rsidRDefault="003D1339" w:rsidP="003D1339">
      <w:pPr>
        <w:ind w:right="-540"/>
        <w:rPr>
          <w:rFonts w:ascii="Times New Roman" w:hAnsi="Times New Roman" w:cs="Times New Roman"/>
          <w:sz w:val="24"/>
          <w:szCs w:val="24"/>
        </w:rPr>
      </w:pPr>
      <w:r w:rsidRPr="003D1339">
        <w:rPr>
          <w:rFonts w:ascii="Times New Roman" w:hAnsi="Times New Roman" w:cs="Times New Roman"/>
          <w:sz w:val="24"/>
          <w:szCs w:val="24"/>
        </w:rPr>
        <w:t xml:space="preserve">This exam has </w:t>
      </w:r>
      <w:r w:rsidR="002539BF">
        <w:rPr>
          <w:rFonts w:ascii="Times New Roman" w:hAnsi="Times New Roman" w:cs="Times New Roman"/>
          <w:sz w:val="24"/>
          <w:szCs w:val="24"/>
        </w:rPr>
        <w:t>8</w:t>
      </w:r>
      <w:r w:rsidRPr="003D1339">
        <w:rPr>
          <w:rFonts w:ascii="Times New Roman" w:hAnsi="Times New Roman" w:cs="Times New Roman"/>
          <w:sz w:val="24"/>
          <w:szCs w:val="24"/>
        </w:rPr>
        <w:t xml:space="preserve"> pages.  Please make sure you have all </w:t>
      </w:r>
      <w:r w:rsidR="002539BF">
        <w:rPr>
          <w:rFonts w:ascii="Times New Roman" w:hAnsi="Times New Roman" w:cs="Times New Roman"/>
          <w:sz w:val="24"/>
          <w:szCs w:val="24"/>
        </w:rPr>
        <w:t>eight</w:t>
      </w:r>
      <w:r w:rsidRPr="003D1339">
        <w:rPr>
          <w:rFonts w:ascii="Times New Roman" w:hAnsi="Times New Roman" w:cs="Times New Roman"/>
          <w:sz w:val="24"/>
          <w:szCs w:val="24"/>
        </w:rPr>
        <w:t xml:space="preserve">.  </w:t>
      </w:r>
    </w:p>
    <w:p w14:paraId="50D5AAAB" w14:textId="77777777" w:rsidR="003D1339" w:rsidRPr="003D1339" w:rsidRDefault="003D1339" w:rsidP="003D1339">
      <w:pPr>
        <w:ind w:right="-540"/>
        <w:rPr>
          <w:rFonts w:ascii="Times New Roman" w:hAnsi="Times New Roman" w:cs="Times New Roman"/>
          <w:sz w:val="24"/>
          <w:szCs w:val="24"/>
        </w:rPr>
      </w:pPr>
      <w:r w:rsidRPr="003D1339">
        <w:rPr>
          <w:rFonts w:ascii="Times New Roman" w:hAnsi="Times New Roman" w:cs="Times New Roman"/>
          <w:sz w:val="24"/>
          <w:szCs w:val="24"/>
        </w:rPr>
        <w:t>This exam is open-book.  You may consult any materials you wish.  You may use a calculator.</w:t>
      </w:r>
    </w:p>
    <w:p w14:paraId="1C086A13" w14:textId="52B82B96" w:rsidR="003D1339" w:rsidRPr="00860F25" w:rsidRDefault="003D1339" w:rsidP="003D1339">
      <w:pPr>
        <w:rPr>
          <w:rFonts w:ascii="Times New Roman" w:hAnsi="Times New Roman" w:cs="Times New Roman"/>
          <w:sz w:val="24"/>
          <w:szCs w:val="24"/>
        </w:rPr>
      </w:pPr>
      <w:r w:rsidRPr="003D1339">
        <w:rPr>
          <w:rFonts w:ascii="Times New Roman" w:hAnsi="Times New Roman" w:cs="Times New Roman"/>
          <w:sz w:val="24"/>
          <w:szCs w:val="24"/>
        </w:rPr>
        <w:t>You may not discuss the exam or any aspect of property law with anyone during the eight hours scheduled for this exam.</w:t>
      </w:r>
    </w:p>
    <w:p w14:paraId="0D2CF380" w14:textId="7D9AC96B" w:rsidR="003D1339" w:rsidRDefault="003D1339" w:rsidP="003D1339">
      <w:pPr>
        <w:rPr>
          <w:rFonts w:ascii="Times New Roman" w:hAnsi="Times New Roman" w:cs="Times New Roman"/>
          <w:sz w:val="24"/>
          <w:szCs w:val="24"/>
        </w:rPr>
      </w:pPr>
      <w:r w:rsidRPr="00860F25">
        <w:rPr>
          <w:rFonts w:ascii="Times New Roman" w:hAnsi="Times New Roman" w:cs="Times New Roman"/>
          <w:sz w:val="24"/>
          <w:szCs w:val="24"/>
        </w:rPr>
        <w:t>Your exam must total 5000 words or fewer.  I hope it will be shorter.  Indicate the word count in the top left-hand corner of your exam answer. Those who fail to provide an accurate word count will lose one point.</w:t>
      </w:r>
      <w:r>
        <w:rPr>
          <w:rFonts w:ascii="Times New Roman" w:hAnsi="Times New Roman" w:cs="Times New Roman"/>
          <w:sz w:val="24"/>
          <w:szCs w:val="24"/>
        </w:rPr>
        <w:t xml:space="preserve"> </w:t>
      </w:r>
    </w:p>
    <w:p w14:paraId="10862E39" w14:textId="77777777" w:rsidR="003D1339" w:rsidRDefault="003D1339" w:rsidP="003D1339">
      <w:pPr>
        <w:rPr>
          <w:rFonts w:ascii="Times New Roman" w:hAnsi="Times New Roman" w:cs="Times New Roman"/>
          <w:sz w:val="24"/>
          <w:szCs w:val="24"/>
        </w:rPr>
      </w:pPr>
      <w:r>
        <w:rPr>
          <w:rFonts w:ascii="Times New Roman" w:hAnsi="Times New Roman" w:cs="Times New Roman"/>
          <w:sz w:val="24"/>
          <w:szCs w:val="24"/>
        </w:rPr>
        <w:t>If you can, please upload your exam as a PDF file.  Failure to upload your exam as a PDF file will NOT affect your grade.</w:t>
      </w:r>
    </w:p>
    <w:p w14:paraId="4F8F87A4" w14:textId="1C7CD28D" w:rsidR="003D1339" w:rsidRPr="00860F25" w:rsidRDefault="003D1339" w:rsidP="003D1339">
      <w:pPr>
        <w:rPr>
          <w:rFonts w:ascii="Times New Roman" w:hAnsi="Times New Roman" w:cs="Times New Roman"/>
          <w:sz w:val="24"/>
          <w:szCs w:val="24"/>
        </w:rPr>
      </w:pPr>
      <w:r>
        <w:rPr>
          <w:rFonts w:ascii="Times New Roman" w:hAnsi="Times New Roman" w:cs="Times New Roman"/>
          <w:sz w:val="24"/>
          <w:szCs w:val="24"/>
        </w:rPr>
        <w:t xml:space="preserve">Single space your answers. Do not use abbreviations for party names or any other words. </w:t>
      </w:r>
    </w:p>
    <w:p w14:paraId="50538767" w14:textId="77777777" w:rsidR="003D1339" w:rsidRPr="00860F25" w:rsidRDefault="003D1339" w:rsidP="003D1339">
      <w:pPr>
        <w:rPr>
          <w:rFonts w:ascii="Times New Roman" w:hAnsi="Times New Roman" w:cs="Times New Roman"/>
          <w:sz w:val="24"/>
          <w:szCs w:val="24"/>
        </w:rPr>
      </w:pPr>
      <w:r w:rsidRPr="00860F25">
        <w:rPr>
          <w:rFonts w:ascii="Times New Roman" w:hAnsi="Times New Roman" w:cs="Times New Roman"/>
          <w:sz w:val="24"/>
          <w:szCs w:val="24"/>
        </w:rPr>
        <w:t xml:space="preserve">This exam was designed to be answered using only materials assigned for or discussed in class.  Legal research is not forbidden, but it is not necessary, encouraged, or advisable.  Neither discussion of nor citation to materials not covered in class will be rewarded. </w:t>
      </w:r>
    </w:p>
    <w:p w14:paraId="76B789AF" w14:textId="77777777" w:rsidR="003D1339" w:rsidRDefault="003D1339" w:rsidP="003D1339">
      <w:pPr>
        <w:rPr>
          <w:rFonts w:ascii="Times New Roman" w:hAnsi="Times New Roman" w:cs="Times New Roman"/>
          <w:sz w:val="24"/>
          <w:szCs w:val="24"/>
        </w:rPr>
      </w:pPr>
      <w:r>
        <w:rPr>
          <w:rFonts w:ascii="Times New Roman" w:hAnsi="Times New Roman" w:cs="Times New Roman"/>
          <w:sz w:val="24"/>
          <w:szCs w:val="24"/>
        </w:rPr>
        <w:t>This take home exam</w:t>
      </w:r>
      <w:r w:rsidRPr="003D1339">
        <w:rPr>
          <w:rFonts w:ascii="Times New Roman" w:hAnsi="Times New Roman" w:cs="Times New Roman"/>
          <w:sz w:val="24"/>
          <w:szCs w:val="24"/>
        </w:rPr>
        <w:t xml:space="preserve"> consists of a single essay question, with four specific disputes.  For each dispute, you should identify important issues, make reasonable arguments on either side of any open question of fact or law, and state clearly how resolution of these issues will affect the outcome.  Reasonable arguments are those that might be made in a trial court.</w:t>
      </w:r>
    </w:p>
    <w:p w14:paraId="75B1D63E" w14:textId="3F2482B7" w:rsidR="003D1339" w:rsidRDefault="003D1339" w:rsidP="003D1339">
      <w:pPr>
        <w:rPr>
          <w:rFonts w:ascii="Times New Roman" w:hAnsi="Times New Roman" w:cs="Times New Roman"/>
          <w:sz w:val="24"/>
          <w:szCs w:val="24"/>
        </w:rPr>
      </w:pPr>
      <w:r>
        <w:rPr>
          <w:rFonts w:ascii="Times New Roman" w:hAnsi="Times New Roman" w:cs="Times New Roman"/>
          <w:sz w:val="24"/>
          <w:szCs w:val="24"/>
        </w:rPr>
        <w:t>Good luck.</w:t>
      </w:r>
    </w:p>
    <w:p w14:paraId="336F2D0C" w14:textId="77777777" w:rsidR="003D1339" w:rsidRDefault="003D1339">
      <w:pPr>
        <w:rPr>
          <w:rFonts w:ascii="Times New Roman" w:hAnsi="Times New Roman" w:cs="Times New Roman"/>
          <w:sz w:val="24"/>
          <w:szCs w:val="24"/>
        </w:rPr>
      </w:pPr>
      <w:r>
        <w:rPr>
          <w:rFonts w:ascii="Times New Roman" w:hAnsi="Times New Roman" w:cs="Times New Roman"/>
          <w:sz w:val="24"/>
          <w:szCs w:val="24"/>
        </w:rPr>
        <w:br w:type="page"/>
      </w:r>
    </w:p>
    <w:p w14:paraId="2EE1600B" w14:textId="77777777" w:rsidR="00DC5A76" w:rsidRDefault="00DC5A76" w:rsidP="000D494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Garamond" w:hAnsi="Garamond" w:cs="Garamond Antiqua"/>
        </w:rPr>
        <w:sectPr w:rsidR="00DC5A76" w:rsidSect="000F5FDC">
          <w:footerReference w:type="default" r:id="rId8"/>
          <w:footerReference w:type="first" r:id="rId9"/>
          <w:pgSz w:w="12240" w:h="15840"/>
          <w:pgMar w:top="1440" w:right="1440" w:bottom="1440" w:left="1440" w:header="720" w:footer="720" w:gutter="0"/>
          <w:pgNumType w:start="1"/>
          <w:cols w:space="720"/>
          <w:titlePg/>
          <w:docGrid w:linePitch="360"/>
        </w:sectPr>
      </w:pPr>
    </w:p>
    <w:p w14:paraId="06665F36" w14:textId="781D17A3" w:rsidR="00C17B5A" w:rsidRPr="003D1339" w:rsidRDefault="00FA723B">
      <w:pPr>
        <w:rPr>
          <w:rFonts w:ascii="Times New Roman" w:hAnsi="Times New Roman" w:cs="Times New Roman"/>
          <w:sz w:val="24"/>
          <w:szCs w:val="24"/>
        </w:rPr>
      </w:pPr>
      <w:r w:rsidRPr="003D1339">
        <w:rPr>
          <w:rFonts w:ascii="Times New Roman" w:hAnsi="Times New Roman" w:cs="Times New Roman"/>
          <w:sz w:val="24"/>
          <w:szCs w:val="24"/>
        </w:rPr>
        <w:lastRenderedPageBreak/>
        <w:t>Pap</w:t>
      </w:r>
      <w:r w:rsidR="006D4561" w:rsidRPr="003D1339">
        <w:rPr>
          <w:rFonts w:ascii="Times New Roman" w:hAnsi="Times New Roman" w:cs="Times New Roman"/>
          <w:sz w:val="24"/>
          <w:szCs w:val="24"/>
        </w:rPr>
        <w:t>a</w:t>
      </w:r>
      <w:r w:rsidR="00415971" w:rsidRPr="003D1339">
        <w:rPr>
          <w:rFonts w:ascii="Times New Roman" w:hAnsi="Times New Roman" w:cs="Times New Roman"/>
          <w:sz w:val="24"/>
          <w:szCs w:val="24"/>
        </w:rPr>
        <w:t xml:space="preserve"> R</w:t>
      </w:r>
      <w:r w:rsidR="00C17B5A" w:rsidRPr="003D1339">
        <w:rPr>
          <w:rFonts w:ascii="Times New Roman" w:hAnsi="Times New Roman" w:cs="Times New Roman"/>
          <w:sz w:val="24"/>
          <w:szCs w:val="24"/>
        </w:rPr>
        <w:t xml:space="preserve">ump owns </w:t>
      </w:r>
      <w:r w:rsidR="006068B3" w:rsidRPr="003D1339">
        <w:rPr>
          <w:rFonts w:ascii="Times New Roman" w:hAnsi="Times New Roman" w:cs="Times New Roman"/>
          <w:sz w:val="24"/>
          <w:szCs w:val="24"/>
        </w:rPr>
        <w:t xml:space="preserve">an </w:t>
      </w:r>
      <w:r w:rsidR="00C17B5A" w:rsidRPr="003D1339">
        <w:rPr>
          <w:rFonts w:ascii="Times New Roman" w:hAnsi="Times New Roman" w:cs="Times New Roman"/>
          <w:sz w:val="24"/>
          <w:szCs w:val="24"/>
        </w:rPr>
        <w:t xml:space="preserve">apartment building </w:t>
      </w:r>
      <w:r w:rsidR="006068B3" w:rsidRPr="003D1339">
        <w:rPr>
          <w:rFonts w:ascii="Times New Roman" w:hAnsi="Times New Roman" w:cs="Times New Roman"/>
          <w:sz w:val="24"/>
          <w:szCs w:val="24"/>
        </w:rPr>
        <w:t xml:space="preserve">with four units </w:t>
      </w:r>
      <w:r w:rsidR="00C17B5A" w:rsidRPr="003D1339">
        <w:rPr>
          <w:rFonts w:ascii="Times New Roman" w:hAnsi="Times New Roman" w:cs="Times New Roman"/>
          <w:sz w:val="24"/>
          <w:szCs w:val="24"/>
        </w:rPr>
        <w:t xml:space="preserve">in Lake Tahoe (a </w:t>
      </w:r>
      <w:r w:rsidR="006068B3" w:rsidRPr="003D1339">
        <w:rPr>
          <w:rFonts w:ascii="Times New Roman" w:hAnsi="Times New Roman" w:cs="Times New Roman"/>
          <w:sz w:val="24"/>
          <w:szCs w:val="24"/>
        </w:rPr>
        <w:t>city</w:t>
      </w:r>
      <w:r w:rsidR="00C17B5A" w:rsidRPr="003D1339">
        <w:rPr>
          <w:rFonts w:ascii="Times New Roman" w:hAnsi="Times New Roman" w:cs="Times New Roman"/>
          <w:sz w:val="24"/>
          <w:szCs w:val="24"/>
        </w:rPr>
        <w:t xml:space="preserve"> located </w:t>
      </w:r>
      <w:r w:rsidR="006068B3" w:rsidRPr="003D1339">
        <w:rPr>
          <w:rFonts w:ascii="Times New Roman" w:hAnsi="Times New Roman" w:cs="Times New Roman"/>
          <w:sz w:val="24"/>
          <w:szCs w:val="24"/>
        </w:rPr>
        <w:t xml:space="preserve">in the mountains </w:t>
      </w:r>
      <w:r w:rsidR="00501EA6" w:rsidRPr="003D1339">
        <w:rPr>
          <w:rFonts w:ascii="Times New Roman" w:hAnsi="Times New Roman" w:cs="Times New Roman"/>
          <w:sz w:val="24"/>
          <w:szCs w:val="24"/>
        </w:rPr>
        <w:t xml:space="preserve">near </w:t>
      </w:r>
      <w:r w:rsidR="006068B3" w:rsidRPr="003D1339">
        <w:rPr>
          <w:rFonts w:ascii="Times New Roman" w:hAnsi="Times New Roman" w:cs="Times New Roman"/>
          <w:sz w:val="24"/>
          <w:szCs w:val="24"/>
        </w:rPr>
        <w:t xml:space="preserve">the </w:t>
      </w:r>
      <w:r w:rsidR="00501EA6" w:rsidRPr="003D1339">
        <w:rPr>
          <w:rFonts w:ascii="Times New Roman" w:hAnsi="Times New Roman" w:cs="Times New Roman"/>
          <w:sz w:val="24"/>
          <w:szCs w:val="24"/>
        </w:rPr>
        <w:t>California-</w:t>
      </w:r>
      <w:r w:rsidR="00C17B5A" w:rsidRPr="003D1339">
        <w:rPr>
          <w:rFonts w:ascii="Times New Roman" w:hAnsi="Times New Roman" w:cs="Times New Roman"/>
          <w:sz w:val="24"/>
          <w:szCs w:val="24"/>
        </w:rPr>
        <w:t>Nevada</w:t>
      </w:r>
      <w:r w:rsidR="006068B3" w:rsidRPr="003D1339">
        <w:rPr>
          <w:rFonts w:ascii="Times New Roman" w:hAnsi="Times New Roman" w:cs="Times New Roman"/>
          <w:sz w:val="24"/>
          <w:szCs w:val="24"/>
        </w:rPr>
        <w:t xml:space="preserve"> border</w:t>
      </w:r>
      <w:r w:rsidR="00C17B5A" w:rsidRPr="003D1339">
        <w:rPr>
          <w:rFonts w:ascii="Times New Roman" w:hAnsi="Times New Roman" w:cs="Times New Roman"/>
          <w:sz w:val="24"/>
          <w:szCs w:val="24"/>
        </w:rPr>
        <w:t xml:space="preserve">).  </w:t>
      </w:r>
      <w:r w:rsidR="00A52976" w:rsidRPr="003D1339">
        <w:rPr>
          <w:rFonts w:ascii="Times New Roman" w:hAnsi="Times New Roman" w:cs="Times New Roman"/>
          <w:sz w:val="24"/>
          <w:szCs w:val="24"/>
        </w:rPr>
        <w:t xml:space="preserve">In December, </w:t>
      </w:r>
      <w:r w:rsidRPr="003D1339">
        <w:rPr>
          <w:rFonts w:ascii="Times New Roman" w:hAnsi="Times New Roman" w:cs="Times New Roman"/>
          <w:sz w:val="24"/>
          <w:szCs w:val="24"/>
        </w:rPr>
        <w:t xml:space="preserve">Papa </w:t>
      </w:r>
      <w:r w:rsidR="00C17B5A" w:rsidRPr="003D1339">
        <w:rPr>
          <w:rFonts w:ascii="Times New Roman" w:hAnsi="Times New Roman" w:cs="Times New Roman"/>
          <w:sz w:val="24"/>
          <w:szCs w:val="24"/>
        </w:rPr>
        <w:t>died, leaving the building:</w:t>
      </w:r>
    </w:p>
    <w:p w14:paraId="06665F37" w14:textId="1D6A961F" w:rsidR="009A1A7E" w:rsidRPr="003D1339" w:rsidRDefault="00C17B5A" w:rsidP="00C17B5A">
      <w:pPr>
        <w:ind w:left="720"/>
        <w:rPr>
          <w:rFonts w:ascii="Times New Roman" w:hAnsi="Times New Roman" w:cs="Times New Roman"/>
          <w:sz w:val="24"/>
          <w:szCs w:val="24"/>
        </w:rPr>
      </w:pPr>
      <w:r w:rsidRPr="003D1339">
        <w:rPr>
          <w:rFonts w:ascii="Times New Roman" w:hAnsi="Times New Roman" w:cs="Times New Roman"/>
          <w:sz w:val="24"/>
          <w:szCs w:val="24"/>
        </w:rPr>
        <w:t xml:space="preserve"> “To my </w:t>
      </w:r>
      <w:r w:rsidR="009D289B" w:rsidRPr="003D1339">
        <w:rPr>
          <w:rFonts w:ascii="Times New Roman" w:hAnsi="Times New Roman" w:cs="Times New Roman"/>
          <w:sz w:val="24"/>
          <w:szCs w:val="24"/>
        </w:rPr>
        <w:t>son Donnie</w:t>
      </w:r>
      <w:r w:rsidR="00FA723B" w:rsidRPr="003D1339">
        <w:rPr>
          <w:rFonts w:ascii="Times New Roman" w:hAnsi="Times New Roman" w:cs="Times New Roman"/>
          <w:sz w:val="24"/>
          <w:szCs w:val="24"/>
        </w:rPr>
        <w:t xml:space="preserve"> and my daughter Hil</w:t>
      </w:r>
      <w:r w:rsidR="00962507" w:rsidRPr="003D1339">
        <w:rPr>
          <w:rFonts w:ascii="Times New Roman" w:hAnsi="Times New Roman" w:cs="Times New Roman"/>
          <w:sz w:val="24"/>
          <w:szCs w:val="24"/>
        </w:rPr>
        <w:t>arity</w:t>
      </w:r>
      <w:r w:rsidRPr="003D1339">
        <w:rPr>
          <w:rFonts w:ascii="Times New Roman" w:hAnsi="Times New Roman" w:cs="Times New Roman"/>
          <w:sz w:val="24"/>
          <w:szCs w:val="24"/>
        </w:rPr>
        <w:t xml:space="preserve">, as joint tenants with a right of survivorship, so long as they continue to operate the building as an apartment, </w:t>
      </w:r>
      <w:r w:rsidR="000838E7" w:rsidRPr="003D1339">
        <w:rPr>
          <w:rFonts w:ascii="Times New Roman" w:hAnsi="Times New Roman" w:cs="Times New Roman"/>
          <w:sz w:val="24"/>
          <w:szCs w:val="24"/>
        </w:rPr>
        <w:t>and</w:t>
      </w:r>
      <w:r w:rsidRPr="003D1339">
        <w:rPr>
          <w:rFonts w:ascii="Times New Roman" w:hAnsi="Times New Roman" w:cs="Times New Roman"/>
          <w:sz w:val="24"/>
          <w:szCs w:val="24"/>
        </w:rPr>
        <w:t xml:space="preserve"> so long as neither they, nor anyone to whom they convey the property, violates the legal rights of any tenant or prospective tenant in the building.  If </w:t>
      </w:r>
      <w:r w:rsidR="000838E7" w:rsidRPr="003D1339">
        <w:rPr>
          <w:rFonts w:ascii="Times New Roman" w:hAnsi="Times New Roman" w:cs="Times New Roman"/>
          <w:sz w:val="24"/>
          <w:szCs w:val="24"/>
        </w:rPr>
        <w:t xml:space="preserve">one of </w:t>
      </w:r>
      <w:r w:rsidRPr="003D1339">
        <w:rPr>
          <w:rFonts w:ascii="Times New Roman" w:hAnsi="Times New Roman" w:cs="Times New Roman"/>
          <w:sz w:val="24"/>
          <w:szCs w:val="24"/>
        </w:rPr>
        <w:t xml:space="preserve">these </w:t>
      </w:r>
      <w:r w:rsidR="00505481" w:rsidRPr="003D1339">
        <w:rPr>
          <w:rFonts w:ascii="Times New Roman" w:hAnsi="Times New Roman" w:cs="Times New Roman"/>
          <w:sz w:val="24"/>
          <w:szCs w:val="24"/>
        </w:rPr>
        <w:t xml:space="preserve">restrictions </w:t>
      </w:r>
      <w:r w:rsidR="00AD3339" w:rsidRPr="003D1339">
        <w:rPr>
          <w:rFonts w:ascii="Times New Roman" w:hAnsi="Times New Roman" w:cs="Times New Roman"/>
          <w:sz w:val="24"/>
          <w:szCs w:val="24"/>
        </w:rPr>
        <w:t>is broken</w:t>
      </w:r>
      <w:r w:rsidRPr="003D1339">
        <w:rPr>
          <w:rFonts w:ascii="Times New Roman" w:hAnsi="Times New Roman" w:cs="Times New Roman"/>
          <w:sz w:val="24"/>
          <w:szCs w:val="24"/>
        </w:rPr>
        <w:t xml:space="preserve">, then to my </w:t>
      </w:r>
      <w:r w:rsidR="00FA723B" w:rsidRPr="003D1339">
        <w:rPr>
          <w:rFonts w:ascii="Times New Roman" w:hAnsi="Times New Roman" w:cs="Times New Roman"/>
          <w:sz w:val="24"/>
          <w:szCs w:val="24"/>
        </w:rPr>
        <w:t xml:space="preserve">other </w:t>
      </w:r>
      <w:r w:rsidR="00160C5C" w:rsidRPr="003D1339">
        <w:rPr>
          <w:rFonts w:ascii="Times New Roman" w:hAnsi="Times New Roman" w:cs="Times New Roman"/>
          <w:sz w:val="24"/>
          <w:szCs w:val="24"/>
        </w:rPr>
        <w:t>daughter Ironica</w:t>
      </w:r>
      <w:r w:rsidR="000838E7" w:rsidRPr="003D1339">
        <w:rPr>
          <w:rFonts w:ascii="Times New Roman" w:hAnsi="Times New Roman" w:cs="Times New Roman"/>
          <w:sz w:val="24"/>
          <w:szCs w:val="24"/>
        </w:rPr>
        <w:t>, so long as the building remains at all times at least 50% occupied</w:t>
      </w:r>
      <w:r w:rsidRPr="003D1339">
        <w:rPr>
          <w:rFonts w:ascii="Times New Roman" w:hAnsi="Times New Roman" w:cs="Times New Roman"/>
          <w:sz w:val="24"/>
          <w:szCs w:val="24"/>
        </w:rPr>
        <w:t>.</w:t>
      </w:r>
      <w:r w:rsidR="000D249A" w:rsidRPr="003D1339">
        <w:rPr>
          <w:rFonts w:ascii="Times New Roman" w:hAnsi="Times New Roman" w:cs="Times New Roman"/>
          <w:sz w:val="24"/>
          <w:szCs w:val="24"/>
        </w:rPr>
        <w:t xml:space="preserve">  </w:t>
      </w:r>
      <w:r w:rsidR="006D4561" w:rsidRPr="003D1339">
        <w:rPr>
          <w:rFonts w:ascii="Times New Roman" w:hAnsi="Times New Roman" w:cs="Times New Roman"/>
          <w:sz w:val="24"/>
          <w:szCs w:val="24"/>
        </w:rPr>
        <w:t xml:space="preserve">I leave all of my other assets </w:t>
      </w:r>
      <w:r w:rsidR="000D249A" w:rsidRPr="003D1339">
        <w:rPr>
          <w:rFonts w:ascii="Times New Roman" w:hAnsi="Times New Roman" w:cs="Times New Roman"/>
          <w:sz w:val="24"/>
          <w:szCs w:val="24"/>
        </w:rPr>
        <w:t xml:space="preserve">to my son </w:t>
      </w:r>
      <w:r w:rsidR="00FA723B" w:rsidRPr="003D1339">
        <w:rPr>
          <w:rFonts w:ascii="Times New Roman" w:hAnsi="Times New Roman" w:cs="Times New Roman"/>
          <w:sz w:val="24"/>
          <w:szCs w:val="24"/>
        </w:rPr>
        <w:t>Don</w:t>
      </w:r>
      <w:r w:rsidR="009D289B" w:rsidRPr="003D1339">
        <w:rPr>
          <w:rFonts w:ascii="Times New Roman" w:hAnsi="Times New Roman" w:cs="Times New Roman"/>
          <w:sz w:val="24"/>
          <w:szCs w:val="24"/>
        </w:rPr>
        <w:t>nie.</w:t>
      </w:r>
      <w:r w:rsidRPr="003D1339">
        <w:rPr>
          <w:rFonts w:ascii="Times New Roman" w:hAnsi="Times New Roman" w:cs="Times New Roman"/>
          <w:sz w:val="24"/>
          <w:szCs w:val="24"/>
        </w:rPr>
        <w:t>”</w:t>
      </w:r>
    </w:p>
    <w:p w14:paraId="06665F38" w14:textId="2ABF5F02" w:rsidR="00FF5257" w:rsidRPr="003D1339" w:rsidRDefault="001E40A9" w:rsidP="008B100C">
      <w:pPr>
        <w:rPr>
          <w:rFonts w:ascii="Times New Roman" w:hAnsi="Times New Roman" w:cs="Times New Roman"/>
          <w:sz w:val="24"/>
          <w:szCs w:val="24"/>
        </w:rPr>
      </w:pPr>
      <w:r w:rsidRPr="003D1339">
        <w:rPr>
          <w:rFonts w:ascii="Times New Roman" w:hAnsi="Times New Roman" w:cs="Times New Roman"/>
          <w:sz w:val="24"/>
          <w:szCs w:val="24"/>
        </w:rPr>
        <w:t xml:space="preserve">When </w:t>
      </w:r>
      <w:r w:rsidR="00962507" w:rsidRPr="003D1339">
        <w:rPr>
          <w:rFonts w:ascii="Times New Roman" w:hAnsi="Times New Roman" w:cs="Times New Roman"/>
          <w:sz w:val="24"/>
          <w:szCs w:val="24"/>
        </w:rPr>
        <w:t>Hilarity</w:t>
      </w:r>
      <w:r w:rsidR="00FA723B" w:rsidRPr="003D1339">
        <w:rPr>
          <w:rFonts w:ascii="Times New Roman" w:hAnsi="Times New Roman" w:cs="Times New Roman"/>
          <w:sz w:val="24"/>
          <w:szCs w:val="24"/>
        </w:rPr>
        <w:t xml:space="preserve"> </w:t>
      </w:r>
      <w:r w:rsidR="00E1515E" w:rsidRPr="003D1339">
        <w:rPr>
          <w:rFonts w:ascii="Times New Roman" w:hAnsi="Times New Roman" w:cs="Times New Roman"/>
          <w:sz w:val="24"/>
          <w:szCs w:val="24"/>
        </w:rPr>
        <w:t xml:space="preserve">and </w:t>
      </w:r>
      <w:r w:rsidR="00FA723B" w:rsidRPr="003D1339">
        <w:rPr>
          <w:rFonts w:ascii="Times New Roman" w:hAnsi="Times New Roman" w:cs="Times New Roman"/>
          <w:sz w:val="24"/>
          <w:szCs w:val="24"/>
        </w:rPr>
        <w:t>Don</w:t>
      </w:r>
      <w:r w:rsidR="009D289B" w:rsidRPr="003D1339">
        <w:rPr>
          <w:rFonts w:ascii="Times New Roman" w:hAnsi="Times New Roman" w:cs="Times New Roman"/>
          <w:sz w:val="24"/>
          <w:szCs w:val="24"/>
        </w:rPr>
        <w:t>nie</w:t>
      </w:r>
      <w:r w:rsidR="00FA723B" w:rsidRPr="003D1339">
        <w:rPr>
          <w:rFonts w:ascii="Times New Roman" w:hAnsi="Times New Roman" w:cs="Times New Roman"/>
          <w:sz w:val="24"/>
          <w:szCs w:val="24"/>
        </w:rPr>
        <w:t xml:space="preserve"> </w:t>
      </w:r>
      <w:r w:rsidRPr="003D1339">
        <w:rPr>
          <w:rFonts w:ascii="Times New Roman" w:hAnsi="Times New Roman" w:cs="Times New Roman"/>
          <w:sz w:val="24"/>
          <w:szCs w:val="24"/>
        </w:rPr>
        <w:t xml:space="preserve">inherited the </w:t>
      </w:r>
      <w:r w:rsidR="003B3CF2" w:rsidRPr="003D1339">
        <w:rPr>
          <w:rFonts w:ascii="Times New Roman" w:hAnsi="Times New Roman" w:cs="Times New Roman"/>
          <w:sz w:val="24"/>
          <w:szCs w:val="24"/>
        </w:rPr>
        <w:t>building</w:t>
      </w:r>
      <w:r w:rsidRPr="003D1339">
        <w:rPr>
          <w:rFonts w:ascii="Times New Roman" w:hAnsi="Times New Roman" w:cs="Times New Roman"/>
          <w:sz w:val="24"/>
          <w:szCs w:val="24"/>
        </w:rPr>
        <w:t>, it was fully occupied</w:t>
      </w:r>
      <w:r w:rsidR="00073992" w:rsidRPr="003D1339">
        <w:rPr>
          <w:rFonts w:ascii="Times New Roman" w:hAnsi="Times New Roman" w:cs="Times New Roman"/>
          <w:sz w:val="24"/>
          <w:szCs w:val="24"/>
        </w:rPr>
        <w:t xml:space="preserve">.  </w:t>
      </w:r>
      <w:r w:rsidR="00415971" w:rsidRPr="003D1339">
        <w:rPr>
          <w:rFonts w:ascii="Times New Roman" w:hAnsi="Times New Roman" w:cs="Times New Roman"/>
          <w:sz w:val="24"/>
          <w:szCs w:val="24"/>
        </w:rPr>
        <w:t xml:space="preserve">All leases were month-to-month leases beginning on the first of the month. </w:t>
      </w:r>
      <w:r w:rsidR="008A1E69" w:rsidRPr="003D1339">
        <w:rPr>
          <w:rFonts w:ascii="Times New Roman" w:hAnsi="Times New Roman" w:cs="Times New Roman"/>
          <w:sz w:val="24"/>
          <w:szCs w:val="24"/>
        </w:rPr>
        <w:t>Then:</w:t>
      </w:r>
      <w:r w:rsidR="00FF5257" w:rsidRPr="003D1339">
        <w:rPr>
          <w:rFonts w:ascii="Times New Roman" w:hAnsi="Times New Roman" w:cs="Times New Roman"/>
          <w:sz w:val="24"/>
          <w:szCs w:val="24"/>
        </w:rPr>
        <w:t xml:space="preserve">  </w:t>
      </w:r>
    </w:p>
    <w:p w14:paraId="06665F39" w14:textId="77777777" w:rsidR="00FF5257" w:rsidRPr="003D1339" w:rsidRDefault="00FF5257" w:rsidP="00FF5257">
      <w:pPr>
        <w:pStyle w:val="ListParagraph"/>
        <w:numPr>
          <w:ilvl w:val="0"/>
          <w:numId w:val="1"/>
        </w:numPr>
        <w:rPr>
          <w:rFonts w:ascii="Times New Roman" w:hAnsi="Times New Roman" w:cs="Times New Roman"/>
          <w:sz w:val="24"/>
          <w:szCs w:val="24"/>
        </w:rPr>
      </w:pPr>
      <w:r w:rsidRPr="003D1339">
        <w:rPr>
          <w:rFonts w:ascii="Times New Roman" w:hAnsi="Times New Roman" w:cs="Times New Roman"/>
          <w:sz w:val="24"/>
          <w:szCs w:val="24"/>
        </w:rPr>
        <w:t>On January 1, the tenant in unit #1</w:t>
      </w:r>
      <w:r w:rsidR="00415971" w:rsidRPr="003D1339">
        <w:rPr>
          <w:rFonts w:ascii="Times New Roman" w:hAnsi="Times New Roman" w:cs="Times New Roman"/>
          <w:sz w:val="24"/>
          <w:szCs w:val="24"/>
        </w:rPr>
        <w:t xml:space="preserve"> </w:t>
      </w:r>
      <w:r w:rsidRPr="003D1339">
        <w:rPr>
          <w:rFonts w:ascii="Times New Roman" w:hAnsi="Times New Roman" w:cs="Times New Roman"/>
          <w:sz w:val="24"/>
          <w:szCs w:val="24"/>
        </w:rPr>
        <w:t xml:space="preserve">approached </w:t>
      </w:r>
      <w:r w:rsidR="00962507" w:rsidRPr="003D1339">
        <w:rPr>
          <w:rFonts w:ascii="Times New Roman" w:hAnsi="Times New Roman" w:cs="Times New Roman"/>
          <w:sz w:val="24"/>
          <w:szCs w:val="24"/>
        </w:rPr>
        <w:t>Hilarity</w:t>
      </w:r>
      <w:r w:rsidR="00FA723B" w:rsidRPr="003D1339">
        <w:rPr>
          <w:rFonts w:ascii="Times New Roman" w:hAnsi="Times New Roman" w:cs="Times New Roman"/>
          <w:sz w:val="24"/>
          <w:szCs w:val="24"/>
        </w:rPr>
        <w:t xml:space="preserve"> </w:t>
      </w:r>
      <w:r w:rsidRPr="003D1339">
        <w:rPr>
          <w:rFonts w:ascii="Times New Roman" w:hAnsi="Times New Roman" w:cs="Times New Roman"/>
          <w:sz w:val="24"/>
          <w:szCs w:val="24"/>
        </w:rPr>
        <w:t xml:space="preserve">asking to be released from her lease.  </w:t>
      </w:r>
      <w:r w:rsidR="008E2198" w:rsidRPr="003D1339">
        <w:rPr>
          <w:rFonts w:ascii="Times New Roman" w:hAnsi="Times New Roman" w:cs="Times New Roman"/>
          <w:sz w:val="24"/>
          <w:szCs w:val="24"/>
        </w:rPr>
        <w:t xml:space="preserve">The tenant </w:t>
      </w:r>
      <w:r w:rsidRPr="003D1339">
        <w:rPr>
          <w:rFonts w:ascii="Times New Roman" w:hAnsi="Times New Roman" w:cs="Times New Roman"/>
          <w:sz w:val="24"/>
          <w:szCs w:val="24"/>
        </w:rPr>
        <w:t xml:space="preserve">worked as a </w:t>
      </w:r>
      <w:r w:rsidR="00717499" w:rsidRPr="003D1339">
        <w:rPr>
          <w:rFonts w:ascii="Times New Roman" w:hAnsi="Times New Roman" w:cs="Times New Roman"/>
          <w:sz w:val="24"/>
          <w:szCs w:val="24"/>
        </w:rPr>
        <w:t xml:space="preserve">technology consultant and had been offered a job in </w:t>
      </w:r>
      <w:r w:rsidR="00FA723B" w:rsidRPr="003D1339">
        <w:rPr>
          <w:rFonts w:ascii="Times New Roman" w:hAnsi="Times New Roman" w:cs="Times New Roman"/>
          <w:sz w:val="24"/>
          <w:szCs w:val="24"/>
        </w:rPr>
        <w:t>Wisconsin</w:t>
      </w:r>
      <w:r w:rsidR="00717499" w:rsidRPr="003D1339">
        <w:rPr>
          <w:rFonts w:ascii="Times New Roman" w:hAnsi="Times New Roman" w:cs="Times New Roman"/>
          <w:sz w:val="24"/>
          <w:szCs w:val="24"/>
        </w:rPr>
        <w:t xml:space="preserve"> setting up private email servers for wealthy executives.</w:t>
      </w:r>
      <w:r w:rsidRPr="003D1339">
        <w:rPr>
          <w:rFonts w:ascii="Times New Roman" w:hAnsi="Times New Roman" w:cs="Times New Roman"/>
          <w:sz w:val="24"/>
          <w:szCs w:val="24"/>
        </w:rPr>
        <w:t xml:space="preserve">  </w:t>
      </w:r>
      <w:r w:rsidR="008E2198" w:rsidRPr="003D1339">
        <w:rPr>
          <w:rFonts w:ascii="Times New Roman" w:hAnsi="Times New Roman" w:cs="Times New Roman"/>
          <w:sz w:val="24"/>
          <w:szCs w:val="24"/>
        </w:rPr>
        <w:t xml:space="preserve">She </w:t>
      </w:r>
      <w:r w:rsidRPr="003D1339">
        <w:rPr>
          <w:rFonts w:ascii="Times New Roman" w:hAnsi="Times New Roman" w:cs="Times New Roman"/>
          <w:sz w:val="24"/>
          <w:szCs w:val="24"/>
        </w:rPr>
        <w:t xml:space="preserve">had already paid her January rent, but said that she did not need it to be refunded if she could be released.  </w:t>
      </w:r>
      <w:r w:rsidR="00962507" w:rsidRPr="003D1339">
        <w:rPr>
          <w:rFonts w:ascii="Times New Roman" w:hAnsi="Times New Roman" w:cs="Times New Roman"/>
          <w:sz w:val="24"/>
          <w:szCs w:val="24"/>
        </w:rPr>
        <w:t>Hilarity</w:t>
      </w:r>
      <w:r w:rsidR="00FA723B" w:rsidRPr="003D1339">
        <w:rPr>
          <w:rFonts w:ascii="Times New Roman" w:hAnsi="Times New Roman" w:cs="Times New Roman"/>
          <w:sz w:val="24"/>
          <w:szCs w:val="24"/>
        </w:rPr>
        <w:t xml:space="preserve"> </w:t>
      </w:r>
      <w:r w:rsidRPr="003D1339">
        <w:rPr>
          <w:rFonts w:ascii="Times New Roman" w:hAnsi="Times New Roman" w:cs="Times New Roman"/>
          <w:sz w:val="24"/>
          <w:szCs w:val="24"/>
        </w:rPr>
        <w:t>replied “</w:t>
      </w:r>
      <w:r w:rsidR="00FA723B" w:rsidRPr="003D1339">
        <w:rPr>
          <w:rFonts w:ascii="Times New Roman" w:hAnsi="Times New Roman" w:cs="Times New Roman"/>
          <w:sz w:val="24"/>
          <w:szCs w:val="24"/>
        </w:rPr>
        <w:t xml:space="preserve">Wisconsin?  Never been there.  But I am </w:t>
      </w:r>
      <w:r w:rsidRPr="003D1339">
        <w:rPr>
          <w:rFonts w:ascii="Times New Roman" w:hAnsi="Times New Roman" w:cs="Times New Roman"/>
          <w:sz w:val="24"/>
          <w:szCs w:val="24"/>
        </w:rPr>
        <w:t xml:space="preserve">glad you are leaving. </w:t>
      </w:r>
      <w:r w:rsidR="00717499" w:rsidRPr="003D1339">
        <w:rPr>
          <w:rFonts w:ascii="Times New Roman" w:hAnsi="Times New Roman" w:cs="Times New Roman"/>
          <w:sz w:val="24"/>
          <w:szCs w:val="24"/>
        </w:rPr>
        <w:t xml:space="preserve">Email is ruining our society; people who use it become out of touch.  </w:t>
      </w:r>
      <w:r w:rsidRPr="003D1339">
        <w:rPr>
          <w:rFonts w:ascii="Times New Roman" w:hAnsi="Times New Roman" w:cs="Times New Roman"/>
          <w:sz w:val="24"/>
          <w:szCs w:val="24"/>
        </w:rPr>
        <w:t xml:space="preserve">We don’t want </w:t>
      </w:r>
      <w:r w:rsidR="00717499" w:rsidRPr="003D1339">
        <w:rPr>
          <w:rFonts w:ascii="Times New Roman" w:hAnsi="Times New Roman" w:cs="Times New Roman"/>
          <w:sz w:val="24"/>
          <w:szCs w:val="24"/>
        </w:rPr>
        <w:t>tech folks in our building</w:t>
      </w:r>
      <w:r w:rsidRPr="003D1339">
        <w:rPr>
          <w:rFonts w:ascii="Times New Roman" w:hAnsi="Times New Roman" w:cs="Times New Roman"/>
          <w:sz w:val="24"/>
          <w:szCs w:val="24"/>
        </w:rPr>
        <w:t xml:space="preserve">.”  </w:t>
      </w:r>
      <w:r w:rsidR="008E2198" w:rsidRPr="003D1339">
        <w:rPr>
          <w:rFonts w:ascii="Times New Roman" w:hAnsi="Times New Roman" w:cs="Times New Roman"/>
          <w:sz w:val="24"/>
          <w:szCs w:val="24"/>
        </w:rPr>
        <w:t xml:space="preserve">The tenant </w:t>
      </w:r>
      <w:r w:rsidR="008A1E69" w:rsidRPr="003D1339">
        <w:rPr>
          <w:rFonts w:ascii="Times New Roman" w:hAnsi="Times New Roman" w:cs="Times New Roman"/>
          <w:sz w:val="24"/>
          <w:szCs w:val="24"/>
        </w:rPr>
        <w:t xml:space="preserve">vacated immediately. </w:t>
      </w:r>
      <w:r w:rsidR="008E2198" w:rsidRPr="003D1339">
        <w:rPr>
          <w:rFonts w:ascii="Times New Roman" w:hAnsi="Times New Roman" w:cs="Times New Roman"/>
          <w:sz w:val="24"/>
          <w:szCs w:val="24"/>
        </w:rPr>
        <w:t xml:space="preserve"> </w:t>
      </w:r>
      <w:r w:rsidRPr="003D1339">
        <w:rPr>
          <w:rFonts w:ascii="Times New Roman" w:hAnsi="Times New Roman" w:cs="Times New Roman"/>
          <w:sz w:val="24"/>
          <w:szCs w:val="24"/>
        </w:rPr>
        <w:t xml:space="preserve">On January 2, </w:t>
      </w:r>
      <w:r w:rsidR="00962507" w:rsidRPr="003D1339">
        <w:rPr>
          <w:rFonts w:ascii="Times New Roman" w:hAnsi="Times New Roman" w:cs="Times New Roman"/>
          <w:sz w:val="24"/>
          <w:szCs w:val="24"/>
        </w:rPr>
        <w:t>Hilarity</w:t>
      </w:r>
      <w:r w:rsidR="00FA723B" w:rsidRPr="003D1339">
        <w:rPr>
          <w:rFonts w:ascii="Times New Roman" w:hAnsi="Times New Roman" w:cs="Times New Roman"/>
          <w:sz w:val="24"/>
          <w:szCs w:val="24"/>
        </w:rPr>
        <w:t xml:space="preserve"> </w:t>
      </w:r>
      <w:r w:rsidRPr="003D1339">
        <w:rPr>
          <w:rFonts w:ascii="Times New Roman" w:hAnsi="Times New Roman" w:cs="Times New Roman"/>
          <w:sz w:val="24"/>
          <w:szCs w:val="24"/>
        </w:rPr>
        <w:t>moved into unit #1</w:t>
      </w:r>
      <w:r w:rsidR="008A1E69" w:rsidRPr="003D1339">
        <w:rPr>
          <w:rFonts w:ascii="Times New Roman" w:hAnsi="Times New Roman" w:cs="Times New Roman"/>
          <w:sz w:val="24"/>
          <w:szCs w:val="24"/>
        </w:rPr>
        <w:t>.</w:t>
      </w:r>
      <w:r w:rsidRPr="003D1339">
        <w:rPr>
          <w:rFonts w:ascii="Times New Roman" w:hAnsi="Times New Roman" w:cs="Times New Roman"/>
          <w:sz w:val="24"/>
          <w:szCs w:val="24"/>
        </w:rPr>
        <w:t xml:space="preserve">  </w:t>
      </w:r>
    </w:p>
    <w:p w14:paraId="06665F3A" w14:textId="199753A3" w:rsidR="00073992" w:rsidRPr="003D1339" w:rsidRDefault="00FF5257" w:rsidP="00FF5257">
      <w:pPr>
        <w:pStyle w:val="ListParagraph"/>
        <w:numPr>
          <w:ilvl w:val="0"/>
          <w:numId w:val="1"/>
        </w:numPr>
        <w:rPr>
          <w:rFonts w:ascii="Times New Roman" w:hAnsi="Times New Roman" w:cs="Times New Roman"/>
          <w:sz w:val="24"/>
          <w:szCs w:val="24"/>
        </w:rPr>
      </w:pPr>
      <w:r w:rsidRPr="003D1339">
        <w:rPr>
          <w:rFonts w:ascii="Times New Roman" w:hAnsi="Times New Roman" w:cs="Times New Roman"/>
          <w:sz w:val="24"/>
          <w:szCs w:val="24"/>
        </w:rPr>
        <w:t>On January 10</w:t>
      </w:r>
      <w:r w:rsidRPr="003D1339">
        <w:rPr>
          <w:rFonts w:ascii="Times New Roman" w:hAnsi="Times New Roman" w:cs="Times New Roman"/>
          <w:sz w:val="24"/>
          <w:szCs w:val="24"/>
          <w:vertAlign w:val="superscript"/>
        </w:rPr>
        <w:t>th</w:t>
      </w:r>
      <w:r w:rsidRPr="003D1339">
        <w:rPr>
          <w:rFonts w:ascii="Times New Roman" w:hAnsi="Times New Roman" w:cs="Times New Roman"/>
          <w:sz w:val="24"/>
          <w:szCs w:val="24"/>
        </w:rPr>
        <w:t xml:space="preserve">, </w:t>
      </w:r>
      <w:r w:rsidR="00FA723B" w:rsidRPr="003D1339">
        <w:rPr>
          <w:rFonts w:ascii="Times New Roman" w:hAnsi="Times New Roman" w:cs="Times New Roman"/>
          <w:sz w:val="24"/>
          <w:szCs w:val="24"/>
        </w:rPr>
        <w:t>Don</w:t>
      </w:r>
      <w:r w:rsidR="009D289B" w:rsidRPr="003D1339">
        <w:rPr>
          <w:rFonts w:ascii="Times New Roman" w:hAnsi="Times New Roman" w:cs="Times New Roman"/>
          <w:sz w:val="24"/>
          <w:szCs w:val="24"/>
        </w:rPr>
        <w:t>nie</w:t>
      </w:r>
      <w:r w:rsidR="00FA723B" w:rsidRPr="003D1339">
        <w:rPr>
          <w:rFonts w:ascii="Times New Roman" w:hAnsi="Times New Roman" w:cs="Times New Roman"/>
          <w:sz w:val="24"/>
          <w:szCs w:val="24"/>
        </w:rPr>
        <w:t xml:space="preserve"> </w:t>
      </w:r>
      <w:r w:rsidRPr="003D1339">
        <w:rPr>
          <w:rFonts w:ascii="Times New Roman" w:hAnsi="Times New Roman" w:cs="Times New Roman"/>
          <w:sz w:val="24"/>
          <w:szCs w:val="24"/>
        </w:rPr>
        <w:t xml:space="preserve">delivered a letter to the tenant in unit #2 </w:t>
      </w:r>
      <w:r w:rsidR="00415971" w:rsidRPr="003D1339">
        <w:rPr>
          <w:rFonts w:ascii="Times New Roman" w:hAnsi="Times New Roman" w:cs="Times New Roman"/>
          <w:sz w:val="24"/>
          <w:szCs w:val="24"/>
        </w:rPr>
        <w:t xml:space="preserve">(Gail Garcia) </w:t>
      </w:r>
      <w:r w:rsidRPr="003D1339">
        <w:rPr>
          <w:rFonts w:ascii="Times New Roman" w:hAnsi="Times New Roman" w:cs="Times New Roman"/>
          <w:sz w:val="24"/>
          <w:szCs w:val="24"/>
        </w:rPr>
        <w:t xml:space="preserve">announcing that </w:t>
      </w:r>
      <w:r w:rsidR="00FA723B" w:rsidRPr="003D1339">
        <w:rPr>
          <w:rFonts w:ascii="Times New Roman" w:hAnsi="Times New Roman" w:cs="Times New Roman"/>
          <w:sz w:val="24"/>
          <w:szCs w:val="24"/>
        </w:rPr>
        <w:t xml:space="preserve">he and </w:t>
      </w:r>
      <w:r w:rsidR="00962507" w:rsidRPr="003D1339">
        <w:rPr>
          <w:rFonts w:ascii="Times New Roman" w:hAnsi="Times New Roman" w:cs="Times New Roman"/>
          <w:sz w:val="24"/>
          <w:szCs w:val="24"/>
        </w:rPr>
        <w:t>Hilarity</w:t>
      </w:r>
      <w:r w:rsidR="00FA723B" w:rsidRPr="003D1339">
        <w:rPr>
          <w:rFonts w:ascii="Times New Roman" w:hAnsi="Times New Roman" w:cs="Times New Roman"/>
          <w:sz w:val="24"/>
          <w:szCs w:val="24"/>
        </w:rPr>
        <w:t xml:space="preserve"> were </w:t>
      </w:r>
      <w:r w:rsidRPr="003D1339">
        <w:rPr>
          <w:rFonts w:ascii="Times New Roman" w:hAnsi="Times New Roman" w:cs="Times New Roman"/>
          <w:sz w:val="24"/>
          <w:szCs w:val="24"/>
        </w:rPr>
        <w:t xml:space="preserve">giving </w:t>
      </w:r>
      <w:r w:rsidR="001D1C09" w:rsidRPr="003D1339">
        <w:rPr>
          <w:rFonts w:ascii="Times New Roman" w:hAnsi="Times New Roman" w:cs="Times New Roman"/>
          <w:sz w:val="24"/>
          <w:szCs w:val="24"/>
        </w:rPr>
        <w:t xml:space="preserve">Garcia </w:t>
      </w:r>
      <w:r w:rsidRPr="003D1339">
        <w:rPr>
          <w:rFonts w:ascii="Times New Roman" w:hAnsi="Times New Roman" w:cs="Times New Roman"/>
          <w:sz w:val="24"/>
          <w:szCs w:val="24"/>
        </w:rPr>
        <w:t xml:space="preserve">one month’s notice of nonrenewal.  As reasons, the letter explained that the management “did not want non-citizens living in the building,” and that in any case, the tenant “had many, many children, far too many for the building, not like normal </w:t>
      </w:r>
      <w:r w:rsidR="00D53DA1" w:rsidRPr="003D1339">
        <w:rPr>
          <w:rFonts w:ascii="Times New Roman" w:hAnsi="Times New Roman" w:cs="Times New Roman"/>
          <w:sz w:val="24"/>
          <w:szCs w:val="24"/>
        </w:rPr>
        <w:t>people</w:t>
      </w:r>
      <w:r w:rsidRPr="003D1339">
        <w:rPr>
          <w:rFonts w:ascii="Times New Roman" w:hAnsi="Times New Roman" w:cs="Times New Roman"/>
          <w:sz w:val="24"/>
          <w:szCs w:val="24"/>
        </w:rPr>
        <w:t xml:space="preserve">,” and that this “violated building rules on </w:t>
      </w:r>
      <w:r w:rsidR="001D1C09" w:rsidRPr="003D1339">
        <w:rPr>
          <w:rFonts w:ascii="Times New Roman" w:hAnsi="Times New Roman" w:cs="Times New Roman"/>
          <w:sz w:val="24"/>
          <w:szCs w:val="24"/>
        </w:rPr>
        <w:t xml:space="preserve">the </w:t>
      </w:r>
      <w:r w:rsidRPr="003D1339">
        <w:rPr>
          <w:rFonts w:ascii="Times New Roman" w:hAnsi="Times New Roman" w:cs="Times New Roman"/>
          <w:sz w:val="24"/>
          <w:szCs w:val="24"/>
        </w:rPr>
        <w:t xml:space="preserve">number of people who could live in an apartment of this size.”  </w:t>
      </w:r>
      <w:r w:rsidR="00415971" w:rsidRPr="003D1339">
        <w:rPr>
          <w:rFonts w:ascii="Times New Roman" w:hAnsi="Times New Roman" w:cs="Times New Roman"/>
          <w:sz w:val="24"/>
          <w:szCs w:val="24"/>
        </w:rPr>
        <w:t>T</w:t>
      </w:r>
      <w:r w:rsidR="00962507" w:rsidRPr="003D1339">
        <w:rPr>
          <w:rFonts w:ascii="Times New Roman" w:hAnsi="Times New Roman" w:cs="Times New Roman"/>
          <w:sz w:val="24"/>
          <w:szCs w:val="24"/>
        </w:rPr>
        <w:t xml:space="preserve">he lease </w:t>
      </w:r>
      <w:r w:rsidR="009D289B" w:rsidRPr="003D1339">
        <w:rPr>
          <w:rFonts w:ascii="Times New Roman" w:hAnsi="Times New Roman" w:cs="Times New Roman"/>
          <w:sz w:val="24"/>
          <w:szCs w:val="24"/>
        </w:rPr>
        <w:t xml:space="preserve">included </w:t>
      </w:r>
      <w:r w:rsidR="00962507" w:rsidRPr="003D1339">
        <w:rPr>
          <w:rFonts w:ascii="Times New Roman" w:hAnsi="Times New Roman" w:cs="Times New Roman"/>
          <w:sz w:val="24"/>
          <w:szCs w:val="24"/>
        </w:rPr>
        <w:t>no such rule</w:t>
      </w:r>
      <w:r w:rsidR="009D289B" w:rsidRPr="003D1339">
        <w:rPr>
          <w:rFonts w:ascii="Times New Roman" w:hAnsi="Times New Roman" w:cs="Times New Roman"/>
          <w:sz w:val="24"/>
          <w:szCs w:val="24"/>
        </w:rPr>
        <w:t xml:space="preserve">, nor had any occupancy limit </w:t>
      </w:r>
      <w:r w:rsidR="00415971" w:rsidRPr="003D1339">
        <w:rPr>
          <w:rFonts w:ascii="Times New Roman" w:hAnsi="Times New Roman" w:cs="Times New Roman"/>
          <w:sz w:val="24"/>
          <w:szCs w:val="24"/>
        </w:rPr>
        <w:t xml:space="preserve">ever been mentioned to Garcia before.  </w:t>
      </w:r>
      <w:r w:rsidR="00BA23D2" w:rsidRPr="003D1339">
        <w:rPr>
          <w:rFonts w:ascii="Times New Roman" w:hAnsi="Times New Roman" w:cs="Times New Roman"/>
          <w:sz w:val="24"/>
          <w:szCs w:val="24"/>
        </w:rPr>
        <w:t xml:space="preserve">Garcia </w:t>
      </w:r>
      <w:r w:rsidRPr="003D1339">
        <w:rPr>
          <w:rFonts w:ascii="Times New Roman" w:hAnsi="Times New Roman" w:cs="Times New Roman"/>
          <w:sz w:val="24"/>
          <w:szCs w:val="24"/>
        </w:rPr>
        <w:t xml:space="preserve">lived </w:t>
      </w:r>
      <w:r w:rsidR="00BA23D2" w:rsidRPr="003D1339">
        <w:rPr>
          <w:rFonts w:ascii="Times New Roman" w:hAnsi="Times New Roman" w:cs="Times New Roman"/>
          <w:sz w:val="24"/>
          <w:szCs w:val="24"/>
        </w:rPr>
        <w:t xml:space="preserve">in unit #2 </w:t>
      </w:r>
      <w:r w:rsidRPr="003D1339">
        <w:rPr>
          <w:rFonts w:ascii="Times New Roman" w:hAnsi="Times New Roman" w:cs="Times New Roman"/>
          <w:sz w:val="24"/>
          <w:szCs w:val="24"/>
        </w:rPr>
        <w:t xml:space="preserve">with her three children (and with no other adult).  A few days later, </w:t>
      </w:r>
      <w:r w:rsidR="00962507" w:rsidRPr="003D1339">
        <w:rPr>
          <w:rFonts w:ascii="Times New Roman" w:hAnsi="Times New Roman" w:cs="Times New Roman"/>
          <w:sz w:val="24"/>
          <w:szCs w:val="24"/>
        </w:rPr>
        <w:t>Don</w:t>
      </w:r>
      <w:r w:rsidR="009D289B" w:rsidRPr="003D1339">
        <w:rPr>
          <w:rFonts w:ascii="Times New Roman" w:hAnsi="Times New Roman" w:cs="Times New Roman"/>
          <w:sz w:val="24"/>
          <w:szCs w:val="24"/>
        </w:rPr>
        <w:t>nie</w:t>
      </w:r>
      <w:r w:rsidR="00962507" w:rsidRPr="003D1339">
        <w:rPr>
          <w:rFonts w:ascii="Times New Roman" w:hAnsi="Times New Roman" w:cs="Times New Roman"/>
          <w:sz w:val="24"/>
          <w:szCs w:val="24"/>
        </w:rPr>
        <w:t xml:space="preserve"> and Hilarity </w:t>
      </w:r>
      <w:r w:rsidRPr="003D1339">
        <w:rPr>
          <w:rFonts w:ascii="Times New Roman" w:hAnsi="Times New Roman" w:cs="Times New Roman"/>
          <w:sz w:val="24"/>
          <w:szCs w:val="24"/>
        </w:rPr>
        <w:t xml:space="preserve">signed a lease for unit #2 with </w:t>
      </w:r>
      <w:r w:rsidR="00751628" w:rsidRPr="003D1339">
        <w:rPr>
          <w:rFonts w:ascii="Times New Roman" w:hAnsi="Times New Roman" w:cs="Times New Roman"/>
          <w:sz w:val="24"/>
          <w:szCs w:val="24"/>
        </w:rPr>
        <w:t xml:space="preserve">a married couple, </w:t>
      </w:r>
      <w:r w:rsidR="008E2198" w:rsidRPr="003D1339">
        <w:rPr>
          <w:rFonts w:ascii="Times New Roman" w:hAnsi="Times New Roman" w:cs="Times New Roman"/>
          <w:sz w:val="24"/>
          <w:szCs w:val="24"/>
        </w:rPr>
        <w:t xml:space="preserve">Sam and Sally Smith, </w:t>
      </w:r>
      <w:r w:rsidR="00751628" w:rsidRPr="003D1339">
        <w:rPr>
          <w:rFonts w:ascii="Times New Roman" w:hAnsi="Times New Roman" w:cs="Times New Roman"/>
          <w:sz w:val="24"/>
          <w:szCs w:val="24"/>
        </w:rPr>
        <w:t xml:space="preserve">who planned to live there with their two children.  The </w:t>
      </w:r>
      <w:r w:rsidR="005B1FE2" w:rsidRPr="003D1339">
        <w:rPr>
          <w:rFonts w:ascii="Times New Roman" w:hAnsi="Times New Roman" w:cs="Times New Roman"/>
          <w:sz w:val="24"/>
          <w:szCs w:val="24"/>
        </w:rPr>
        <w:t xml:space="preserve">new </w:t>
      </w:r>
      <w:r w:rsidR="00751628" w:rsidRPr="003D1339">
        <w:rPr>
          <w:rFonts w:ascii="Times New Roman" w:hAnsi="Times New Roman" w:cs="Times New Roman"/>
          <w:sz w:val="24"/>
          <w:szCs w:val="24"/>
        </w:rPr>
        <w:t>lease was to begin on February 11</w:t>
      </w:r>
      <w:r w:rsidR="00751628" w:rsidRPr="003D1339">
        <w:rPr>
          <w:rFonts w:ascii="Times New Roman" w:hAnsi="Times New Roman" w:cs="Times New Roman"/>
          <w:sz w:val="24"/>
          <w:szCs w:val="24"/>
          <w:vertAlign w:val="superscript"/>
        </w:rPr>
        <w:t>th</w:t>
      </w:r>
      <w:r w:rsidR="00751628" w:rsidRPr="003D1339">
        <w:rPr>
          <w:rFonts w:ascii="Times New Roman" w:hAnsi="Times New Roman" w:cs="Times New Roman"/>
          <w:sz w:val="24"/>
          <w:szCs w:val="24"/>
        </w:rPr>
        <w:t xml:space="preserve">.  When the </w:t>
      </w:r>
      <w:r w:rsidR="00BA23D2" w:rsidRPr="003D1339">
        <w:rPr>
          <w:rFonts w:ascii="Times New Roman" w:hAnsi="Times New Roman" w:cs="Times New Roman"/>
          <w:sz w:val="24"/>
          <w:szCs w:val="24"/>
        </w:rPr>
        <w:t>S</w:t>
      </w:r>
      <w:r w:rsidR="008E2198" w:rsidRPr="003D1339">
        <w:rPr>
          <w:rFonts w:ascii="Times New Roman" w:hAnsi="Times New Roman" w:cs="Times New Roman"/>
          <w:sz w:val="24"/>
          <w:szCs w:val="24"/>
        </w:rPr>
        <w:t xml:space="preserve">miths </w:t>
      </w:r>
      <w:r w:rsidR="00751628" w:rsidRPr="003D1339">
        <w:rPr>
          <w:rFonts w:ascii="Times New Roman" w:hAnsi="Times New Roman" w:cs="Times New Roman"/>
          <w:sz w:val="24"/>
          <w:szCs w:val="24"/>
        </w:rPr>
        <w:t>arrived</w:t>
      </w:r>
      <w:r w:rsidR="00512C8C" w:rsidRPr="003D1339">
        <w:rPr>
          <w:rFonts w:ascii="Times New Roman" w:hAnsi="Times New Roman" w:cs="Times New Roman"/>
          <w:sz w:val="24"/>
          <w:szCs w:val="24"/>
        </w:rPr>
        <w:t xml:space="preserve"> on that day</w:t>
      </w:r>
      <w:r w:rsidR="00751628" w:rsidRPr="003D1339">
        <w:rPr>
          <w:rFonts w:ascii="Times New Roman" w:hAnsi="Times New Roman" w:cs="Times New Roman"/>
          <w:sz w:val="24"/>
          <w:szCs w:val="24"/>
        </w:rPr>
        <w:t xml:space="preserve">, </w:t>
      </w:r>
      <w:r w:rsidR="00962507" w:rsidRPr="003D1339">
        <w:rPr>
          <w:rFonts w:ascii="Times New Roman" w:hAnsi="Times New Roman" w:cs="Times New Roman"/>
          <w:sz w:val="24"/>
          <w:szCs w:val="24"/>
        </w:rPr>
        <w:t xml:space="preserve">Gail Garcia was </w:t>
      </w:r>
      <w:r w:rsidR="00751628" w:rsidRPr="003D1339">
        <w:rPr>
          <w:rFonts w:ascii="Times New Roman" w:hAnsi="Times New Roman" w:cs="Times New Roman"/>
          <w:sz w:val="24"/>
          <w:szCs w:val="24"/>
        </w:rPr>
        <w:t xml:space="preserve">still in possession of unit #2.  </w:t>
      </w:r>
    </w:p>
    <w:p w14:paraId="06665F3B" w14:textId="4620A74F" w:rsidR="00B61805" w:rsidRPr="003D1339" w:rsidRDefault="00FA723B" w:rsidP="008B100C">
      <w:pPr>
        <w:rPr>
          <w:rFonts w:ascii="Times New Roman" w:hAnsi="Times New Roman" w:cs="Times New Roman"/>
          <w:sz w:val="24"/>
          <w:szCs w:val="24"/>
        </w:rPr>
      </w:pPr>
      <w:r w:rsidRPr="003D1339">
        <w:rPr>
          <w:rFonts w:ascii="Times New Roman" w:hAnsi="Times New Roman" w:cs="Times New Roman"/>
          <w:sz w:val="24"/>
          <w:szCs w:val="24"/>
        </w:rPr>
        <w:t>Don</w:t>
      </w:r>
      <w:r w:rsidR="009D289B" w:rsidRPr="003D1339">
        <w:rPr>
          <w:rFonts w:ascii="Times New Roman" w:hAnsi="Times New Roman" w:cs="Times New Roman"/>
          <w:sz w:val="24"/>
          <w:szCs w:val="24"/>
        </w:rPr>
        <w:t>nie</w:t>
      </w:r>
      <w:r w:rsidRPr="003D1339">
        <w:rPr>
          <w:rFonts w:ascii="Times New Roman" w:hAnsi="Times New Roman" w:cs="Times New Roman"/>
          <w:sz w:val="24"/>
          <w:szCs w:val="24"/>
        </w:rPr>
        <w:t xml:space="preserve"> and </w:t>
      </w:r>
      <w:r w:rsidR="00962507" w:rsidRPr="003D1339">
        <w:rPr>
          <w:rFonts w:ascii="Times New Roman" w:hAnsi="Times New Roman" w:cs="Times New Roman"/>
          <w:sz w:val="24"/>
          <w:szCs w:val="24"/>
        </w:rPr>
        <w:t>Hilarity</w:t>
      </w:r>
      <w:r w:rsidRPr="003D1339">
        <w:rPr>
          <w:rFonts w:ascii="Times New Roman" w:hAnsi="Times New Roman" w:cs="Times New Roman"/>
          <w:sz w:val="24"/>
          <w:szCs w:val="24"/>
        </w:rPr>
        <w:t xml:space="preserve"> </w:t>
      </w:r>
      <w:r w:rsidR="00073992" w:rsidRPr="003D1339">
        <w:rPr>
          <w:rFonts w:ascii="Times New Roman" w:hAnsi="Times New Roman" w:cs="Times New Roman"/>
          <w:sz w:val="24"/>
          <w:szCs w:val="24"/>
        </w:rPr>
        <w:t>wanted to</w:t>
      </w:r>
      <w:r w:rsidR="00B61805" w:rsidRPr="003D1339">
        <w:rPr>
          <w:rFonts w:ascii="Times New Roman" w:hAnsi="Times New Roman" w:cs="Times New Roman"/>
          <w:sz w:val="24"/>
          <w:szCs w:val="24"/>
        </w:rPr>
        <w:t xml:space="preserve"> put an addition</w:t>
      </w:r>
      <w:r w:rsidR="00073992" w:rsidRPr="003D1339">
        <w:rPr>
          <w:rFonts w:ascii="Times New Roman" w:hAnsi="Times New Roman" w:cs="Times New Roman"/>
          <w:sz w:val="24"/>
          <w:szCs w:val="24"/>
        </w:rPr>
        <w:t xml:space="preserve"> </w:t>
      </w:r>
      <w:r w:rsidR="000838E7" w:rsidRPr="003D1339">
        <w:rPr>
          <w:rFonts w:ascii="Times New Roman" w:hAnsi="Times New Roman" w:cs="Times New Roman"/>
          <w:sz w:val="24"/>
          <w:szCs w:val="24"/>
        </w:rPr>
        <w:t xml:space="preserve">onto </w:t>
      </w:r>
      <w:r w:rsidR="00073992" w:rsidRPr="003D1339">
        <w:rPr>
          <w:rFonts w:ascii="Times New Roman" w:hAnsi="Times New Roman" w:cs="Times New Roman"/>
          <w:sz w:val="24"/>
          <w:szCs w:val="24"/>
        </w:rPr>
        <w:t xml:space="preserve">the building.  </w:t>
      </w:r>
      <w:r w:rsidR="00B61805" w:rsidRPr="003D1339">
        <w:rPr>
          <w:rFonts w:ascii="Times New Roman" w:hAnsi="Times New Roman" w:cs="Times New Roman"/>
          <w:sz w:val="24"/>
          <w:szCs w:val="24"/>
        </w:rPr>
        <w:t>D</w:t>
      </w:r>
      <w:r w:rsidR="00073992" w:rsidRPr="003D1339">
        <w:rPr>
          <w:rFonts w:ascii="Times New Roman" w:hAnsi="Times New Roman" w:cs="Times New Roman"/>
          <w:sz w:val="24"/>
          <w:szCs w:val="24"/>
        </w:rPr>
        <w:t xml:space="preserve">oing so required that they install a drainage system </w:t>
      </w:r>
      <w:r w:rsidR="00B61805" w:rsidRPr="003D1339">
        <w:rPr>
          <w:rFonts w:ascii="Times New Roman" w:hAnsi="Times New Roman" w:cs="Times New Roman"/>
          <w:sz w:val="24"/>
          <w:szCs w:val="24"/>
        </w:rPr>
        <w:t xml:space="preserve">to remove water from </w:t>
      </w:r>
      <w:r w:rsidR="00073992" w:rsidRPr="003D1339">
        <w:rPr>
          <w:rFonts w:ascii="Times New Roman" w:hAnsi="Times New Roman" w:cs="Times New Roman"/>
          <w:sz w:val="24"/>
          <w:szCs w:val="24"/>
        </w:rPr>
        <w:t>the marsh</w:t>
      </w:r>
      <w:r w:rsidR="00B61805" w:rsidRPr="003D1339">
        <w:rPr>
          <w:rFonts w:ascii="Times New Roman" w:hAnsi="Times New Roman" w:cs="Times New Roman"/>
          <w:sz w:val="24"/>
          <w:szCs w:val="24"/>
        </w:rPr>
        <w:t>land</w:t>
      </w:r>
      <w:r w:rsidR="00073992" w:rsidRPr="003D1339">
        <w:rPr>
          <w:rFonts w:ascii="Times New Roman" w:hAnsi="Times New Roman" w:cs="Times New Roman"/>
          <w:sz w:val="24"/>
          <w:szCs w:val="24"/>
        </w:rPr>
        <w:t xml:space="preserve"> behind the building.  </w:t>
      </w:r>
      <w:r w:rsidRPr="003D1339">
        <w:rPr>
          <w:rFonts w:ascii="Times New Roman" w:hAnsi="Times New Roman" w:cs="Times New Roman"/>
          <w:sz w:val="24"/>
          <w:szCs w:val="24"/>
        </w:rPr>
        <w:t>Don</w:t>
      </w:r>
      <w:r w:rsidR="009D289B" w:rsidRPr="003D1339">
        <w:rPr>
          <w:rFonts w:ascii="Times New Roman" w:hAnsi="Times New Roman" w:cs="Times New Roman"/>
          <w:sz w:val="24"/>
          <w:szCs w:val="24"/>
        </w:rPr>
        <w:t>nie</w:t>
      </w:r>
      <w:r w:rsidRPr="003D1339">
        <w:rPr>
          <w:rFonts w:ascii="Times New Roman" w:hAnsi="Times New Roman" w:cs="Times New Roman"/>
          <w:sz w:val="24"/>
          <w:szCs w:val="24"/>
        </w:rPr>
        <w:t xml:space="preserve"> </w:t>
      </w:r>
      <w:r w:rsidR="005E64A4" w:rsidRPr="003D1339">
        <w:rPr>
          <w:rFonts w:ascii="Times New Roman" w:hAnsi="Times New Roman" w:cs="Times New Roman"/>
          <w:sz w:val="24"/>
          <w:szCs w:val="24"/>
        </w:rPr>
        <w:t xml:space="preserve">borrowed money from the local bank, putting up his share of the building as collateral, so they could </w:t>
      </w:r>
      <w:r w:rsidR="00073992" w:rsidRPr="003D1339">
        <w:rPr>
          <w:rFonts w:ascii="Times New Roman" w:hAnsi="Times New Roman" w:cs="Times New Roman"/>
          <w:sz w:val="24"/>
          <w:szCs w:val="24"/>
        </w:rPr>
        <w:t>drain the swamp in anticipation of this project.</w:t>
      </w:r>
      <w:r w:rsidR="005E64A4" w:rsidRPr="003D1339">
        <w:rPr>
          <w:rFonts w:ascii="Times New Roman" w:hAnsi="Times New Roman" w:cs="Times New Roman"/>
          <w:sz w:val="24"/>
          <w:szCs w:val="24"/>
        </w:rPr>
        <w:t xml:space="preserve"> </w:t>
      </w:r>
      <w:r w:rsidR="00B61805" w:rsidRPr="003D1339">
        <w:rPr>
          <w:rFonts w:ascii="Times New Roman" w:hAnsi="Times New Roman" w:cs="Times New Roman"/>
          <w:sz w:val="24"/>
          <w:szCs w:val="24"/>
        </w:rPr>
        <w:t xml:space="preserve">  Due to some confusion over a sloppy signature, the mortgage was indexed by the county recorder under the name </w:t>
      </w:r>
      <w:r w:rsidRPr="003D1339">
        <w:rPr>
          <w:rFonts w:ascii="Times New Roman" w:hAnsi="Times New Roman" w:cs="Times New Roman"/>
          <w:sz w:val="24"/>
          <w:szCs w:val="24"/>
        </w:rPr>
        <w:t>Ron</w:t>
      </w:r>
      <w:r w:rsidR="009D289B" w:rsidRPr="003D1339">
        <w:rPr>
          <w:rFonts w:ascii="Times New Roman" w:hAnsi="Times New Roman" w:cs="Times New Roman"/>
          <w:sz w:val="24"/>
          <w:szCs w:val="24"/>
        </w:rPr>
        <w:t>nie</w:t>
      </w:r>
      <w:r w:rsidRPr="003D1339">
        <w:rPr>
          <w:rFonts w:ascii="Times New Roman" w:hAnsi="Times New Roman" w:cs="Times New Roman"/>
          <w:sz w:val="24"/>
          <w:szCs w:val="24"/>
        </w:rPr>
        <w:t xml:space="preserve"> Dump</w:t>
      </w:r>
      <w:r w:rsidR="00B61805" w:rsidRPr="003D1339">
        <w:rPr>
          <w:rFonts w:ascii="Times New Roman" w:hAnsi="Times New Roman" w:cs="Times New Roman"/>
          <w:sz w:val="24"/>
          <w:szCs w:val="24"/>
        </w:rPr>
        <w:t xml:space="preserve">, rather than </w:t>
      </w:r>
      <w:r w:rsidRPr="003D1339">
        <w:rPr>
          <w:rFonts w:ascii="Times New Roman" w:hAnsi="Times New Roman" w:cs="Times New Roman"/>
          <w:sz w:val="24"/>
          <w:szCs w:val="24"/>
        </w:rPr>
        <w:t>Don</w:t>
      </w:r>
      <w:r w:rsidR="009D289B" w:rsidRPr="003D1339">
        <w:rPr>
          <w:rFonts w:ascii="Times New Roman" w:hAnsi="Times New Roman" w:cs="Times New Roman"/>
          <w:sz w:val="24"/>
          <w:szCs w:val="24"/>
        </w:rPr>
        <w:t>nie</w:t>
      </w:r>
      <w:r w:rsidRPr="003D1339">
        <w:rPr>
          <w:rFonts w:ascii="Times New Roman" w:hAnsi="Times New Roman" w:cs="Times New Roman"/>
          <w:sz w:val="24"/>
          <w:szCs w:val="24"/>
        </w:rPr>
        <w:t xml:space="preserve"> Rump</w:t>
      </w:r>
      <w:r w:rsidR="00B61805" w:rsidRPr="003D1339">
        <w:rPr>
          <w:rFonts w:ascii="Times New Roman" w:hAnsi="Times New Roman" w:cs="Times New Roman"/>
          <w:sz w:val="24"/>
          <w:szCs w:val="24"/>
        </w:rPr>
        <w:t>.  This error was in both the grantor and the grantee</w:t>
      </w:r>
      <w:r w:rsidR="00415971" w:rsidRPr="003D1339">
        <w:rPr>
          <w:rFonts w:ascii="Times New Roman" w:hAnsi="Times New Roman" w:cs="Times New Roman"/>
          <w:sz w:val="24"/>
          <w:szCs w:val="24"/>
        </w:rPr>
        <w:t xml:space="preserve"> index.  The mortgage document filed with the recording office </w:t>
      </w:r>
      <w:r w:rsidR="00B61805" w:rsidRPr="003D1339">
        <w:rPr>
          <w:rFonts w:ascii="Times New Roman" w:hAnsi="Times New Roman" w:cs="Times New Roman"/>
          <w:sz w:val="24"/>
          <w:szCs w:val="24"/>
        </w:rPr>
        <w:t xml:space="preserve">had the name spelled correctly. </w:t>
      </w:r>
      <w:r w:rsidR="00A05AE2" w:rsidRPr="003D1339">
        <w:rPr>
          <w:rFonts w:ascii="Times New Roman" w:hAnsi="Times New Roman" w:cs="Times New Roman"/>
          <w:sz w:val="24"/>
          <w:szCs w:val="24"/>
        </w:rPr>
        <w:t xml:space="preserve"> The date of recording was February 15</w:t>
      </w:r>
      <w:r w:rsidR="00A05AE2" w:rsidRPr="003D1339">
        <w:rPr>
          <w:rFonts w:ascii="Times New Roman" w:hAnsi="Times New Roman" w:cs="Times New Roman"/>
          <w:sz w:val="24"/>
          <w:szCs w:val="24"/>
          <w:vertAlign w:val="superscript"/>
        </w:rPr>
        <w:t>th</w:t>
      </w:r>
      <w:r w:rsidR="00A05AE2" w:rsidRPr="003D1339">
        <w:rPr>
          <w:rFonts w:ascii="Times New Roman" w:hAnsi="Times New Roman" w:cs="Times New Roman"/>
          <w:sz w:val="24"/>
          <w:szCs w:val="24"/>
        </w:rPr>
        <w:t>.</w:t>
      </w:r>
      <w:r w:rsidR="000838E7" w:rsidRPr="003D1339">
        <w:rPr>
          <w:rFonts w:ascii="Times New Roman" w:hAnsi="Times New Roman" w:cs="Times New Roman"/>
          <w:sz w:val="24"/>
          <w:szCs w:val="24"/>
        </w:rPr>
        <w:t xml:space="preserve">  </w:t>
      </w:r>
    </w:p>
    <w:p w14:paraId="06665F3C" w14:textId="48C05328" w:rsidR="00FB0C54" w:rsidRPr="003D1339" w:rsidRDefault="000838E7" w:rsidP="008B100C">
      <w:pPr>
        <w:rPr>
          <w:rFonts w:ascii="Times New Roman" w:hAnsi="Times New Roman" w:cs="Times New Roman"/>
          <w:sz w:val="24"/>
          <w:szCs w:val="24"/>
        </w:rPr>
      </w:pPr>
      <w:r w:rsidRPr="003D1339">
        <w:rPr>
          <w:rFonts w:ascii="Times New Roman" w:hAnsi="Times New Roman" w:cs="Times New Roman"/>
          <w:sz w:val="24"/>
          <w:szCs w:val="24"/>
        </w:rPr>
        <w:t>On February 20</w:t>
      </w:r>
      <w:r w:rsidRPr="003D1339">
        <w:rPr>
          <w:rFonts w:ascii="Times New Roman" w:hAnsi="Times New Roman" w:cs="Times New Roman"/>
          <w:sz w:val="24"/>
          <w:szCs w:val="24"/>
          <w:vertAlign w:val="superscript"/>
        </w:rPr>
        <w:t>th</w:t>
      </w:r>
      <w:r w:rsidRPr="003D1339">
        <w:rPr>
          <w:rFonts w:ascii="Times New Roman" w:hAnsi="Times New Roman" w:cs="Times New Roman"/>
          <w:sz w:val="24"/>
          <w:szCs w:val="24"/>
        </w:rPr>
        <w:t xml:space="preserve">, </w:t>
      </w:r>
      <w:r w:rsidR="00FA723B" w:rsidRPr="003D1339">
        <w:rPr>
          <w:rFonts w:ascii="Times New Roman" w:hAnsi="Times New Roman" w:cs="Times New Roman"/>
          <w:sz w:val="24"/>
          <w:szCs w:val="24"/>
        </w:rPr>
        <w:t>Don</w:t>
      </w:r>
      <w:r w:rsidR="009D289B" w:rsidRPr="003D1339">
        <w:rPr>
          <w:rFonts w:ascii="Times New Roman" w:hAnsi="Times New Roman" w:cs="Times New Roman"/>
          <w:sz w:val="24"/>
          <w:szCs w:val="24"/>
        </w:rPr>
        <w:t>nie</w:t>
      </w:r>
      <w:r w:rsidR="00FA723B" w:rsidRPr="003D1339">
        <w:rPr>
          <w:rFonts w:ascii="Times New Roman" w:hAnsi="Times New Roman" w:cs="Times New Roman"/>
          <w:sz w:val="24"/>
          <w:szCs w:val="24"/>
        </w:rPr>
        <w:t xml:space="preserve"> </w:t>
      </w:r>
      <w:r w:rsidRPr="003D1339">
        <w:rPr>
          <w:rFonts w:ascii="Times New Roman" w:hAnsi="Times New Roman" w:cs="Times New Roman"/>
          <w:sz w:val="24"/>
          <w:szCs w:val="24"/>
        </w:rPr>
        <w:t xml:space="preserve">sold his interest in the building </w:t>
      </w:r>
      <w:r w:rsidR="00A05AE2" w:rsidRPr="003D1339">
        <w:rPr>
          <w:rFonts w:ascii="Times New Roman" w:hAnsi="Times New Roman" w:cs="Times New Roman"/>
          <w:sz w:val="24"/>
          <w:szCs w:val="24"/>
        </w:rPr>
        <w:t>(using a general warranty deed that promised there were no encumbrances) to a real estate investor, Mike Sense.</w:t>
      </w:r>
      <w:r w:rsidR="00764B92" w:rsidRPr="003D1339">
        <w:rPr>
          <w:rFonts w:ascii="Times New Roman" w:hAnsi="Times New Roman" w:cs="Times New Roman"/>
          <w:sz w:val="24"/>
          <w:szCs w:val="24"/>
        </w:rPr>
        <w:t xml:space="preserve">  </w:t>
      </w:r>
      <w:r w:rsidR="00036ADC" w:rsidRPr="003D1339">
        <w:rPr>
          <w:rFonts w:ascii="Times New Roman" w:hAnsi="Times New Roman" w:cs="Times New Roman"/>
          <w:sz w:val="24"/>
          <w:szCs w:val="24"/>
        </w:rPr>
        <w:t>Sense recorded immediately.</w:t>
      </w:r>
    </w:p>
    <w:p w14:paraId="06665F3D" w14:textId="77777777" w:rsidR="00A05AE2" w:rsidRPr="003D1339" w:rsidRDefault="000838E7" w:rsidP="008B100C">
      <w:pPr>
        <w:rPr>
          <w:rFonts w:ascii="Times New Roman" w:hAnsi="Times New Roman" w:cs="Times New Roman"/>
          <w:sz w:val="24"/>
          <w:szCs w:val="24"/>
        </w:rPr>
      </w:pPr>
      <w:r w:rsidRPr="003D1339">
        <w:rPr>
          <w:rFonts w:ascii="Times New Roman" w:hAnsi="Times New Roman" w:cs="Times New Roman"/>
          <w:sz w:val="24"/>
          <w:szCs w:val="24"/>
        </w:rPr>
        <w:t xml:space="preserve">Work on draining the swamp began on March 1.  </w:t>
      </w:r>
      <w:r w:rsidR="00A05AE2" w:rsidRPr="003D1339">
        <w:rPr>
          <w:rFonts w:ascii="Times New Roman" w:hAnsi="Times New Roman" w:cs="Times New Roman"/>
          <w:sz w:val="24"/>
          <w:szCs w:val="24"/>
        </w:rPr>
        <w:t xml:space="preserve">On </w:t>
      </w:r>
      <w:r w:rsidR="00462A5E" w:rsidRPr="003D1339">
        <w:rPr>
          <w:rFonts w:ascii="Times New Roman" w:hAnsi="Times New Roman" w:cs="Times New Roman"/>
          <w:sz w:val="24"/>
          <w:szCs w:val="24"/>
        </w:rPr>
        <w:t xml:space="preserve">July </w:t>
      </w:r>
      <w:r w:rsidR="00A05AE2" w:rsidRPr="003D1339">
        <w:rPr>
          <w:rFonts w:ascii="Times New Roman" w:hAnsi="Times New Roman" w:cs="Times New Roman"/>
          <w:sz w:val="24"/>
          <w:szCs w:val="24"/>
        </w:rPr>
        <w:t>1, an investigator from the Environmental Protection A</w:t>
      </w:r>
      <w:r w:rsidR="00036ADC" w:rsidRPr="003D1339">
        <w:rPr>
          <w:rFonts w:ascii="Times New Roman" w:hAnsi="Times New Roman" w:cs="Times New Roman"/>
          <w:sz w:val="24"/>
          <w:szCs w:val="24"/>
        </w:rPr>
        <w:t>gency (following a tip) inspected</w:t>
      </w:r>
      <w:r w:rsidR="00A05AE2" w:rsidRPr="003D1339">
        <w:rPr>
          <w:rFonts w:ascii="Times New Roman" w:hAnsi="Times New Roman" w:cs="Times New Roman"/>
          <w:sz w:val="24"/>
          <w:szCs w:val="24"/>
        </w:rPr>
        <w:t xml:space="preserve"> the construction site.  The land behind the building had long been recognized as a </w:t>
      </w:r>
      <w:r w:rsidR="00FA3473" w:rsidRPr="003D1339">
        <w:rPr>
          <w:rFonts w:ascii="Times New Roman" w:hAnsi="Times New Roman" w:cs="Times New Roman"/>
          <w:sz w:val="24"/>
          <w:szCs w:val="24"/>
        </w:rPr>
        <w:t xml:space="preserve">legally </w:t>
      </w:r>
      <w:r w:rsidR="00A05AE2" w:rsidRPr="003D1339">
        <w:rPr>
          <w:rFonts w:ascii="Times New Roman" w:hAnsi="Times New Roman" w:cs="Times New Roman"/>
          <w:sz w:val="24"/>
          <w:szCs w:val="24"/>
        </w:rPr>
        <w:t>protected wetland.  The federal government quickly declared that the construction project was illegal</w:t>
      </w:r>
      <w:r w:rsidR="004B509C" w:rsidRPr="003D1339">
        <w:rPr>
          <w:rFonts w:ascii="Times New Roman" w:hAnsi="Times New Roman" w:cs="Times New Roman"/>
          <w:sz w:val="24"/>
          <w:szCs w:val="24"/>
        </w:rPr>
        <w:t xml:space="preserve">, </w:t>
      </w:r>
      <w:r w:rsidR="00A05AE2" w:rsidRPr="003D1339">
        <w:rPr>
          <w:rFonts w:ascii="Times New Roman" w:hAnsi="Times New Roman" w:cs="Times New Roman"/>
          <w:sz w:val="24"/>
          <w:szCs w:val="24"/>
        </w:rPr>
        <w:t>or</w:t>
      </w:r>
      <w:r w:rsidR="00415971" w:rsidRPr="003D1339">
        <w:rPr>
          <w:rFonts w:ascii="Times New Roman" w:hAnsi="Times New Roman" w:cs="Times New Roman"/>
          <w:sz w:val="24"/>
          <w:szCs w:val="24"/>
        </w:rPr>
        <w:t>dered a</w:t>
      </w:r>
      <w:r w:rsidR="00A05AE2" w:rsidRPr="003D1339">
        <w:rPr>
          <w:rFonts w:ascii="Times New Roman" w:hAnsi="Times New Roman" w:cs="Times New Roman"/>
          <w:sz w:val="24"/>
          <w:szCs w:val="24"/>
        </w:rPr>
        <w:t xml:space="preserve"> halt</w:t>
      </w:r>
      <w:r w:rsidR="00FA3473" w:rsidRPr="003D1339">
        <w:rPr>
          <w:rFonts w:ascii="Times New Roman" w:hAnsi="Times New Roman" w:cs="Times New Roman"/>
          <w:sz w:val="24"/>
          <w:szCs w:val="24"/>
        </w:rPr>
        <w:t xml:space="preserve"> to construction</w:t>
      </w:r>
      <w:r w:rsidR="00A05AE2" w:rsidRPr="003D1339">
        <w:rPr>
          <w:rFonts w:ascii="Times New Roman" w:hAnsi="Times New Roman" w:cs="Times New Roman"/>
          <w:sz w:val="24"/>
          <w:szCs w:val="24"/>
        </w:rPr>
        <w:t xml:space="preserve">, and also required that the building be vacated </w:t>
      </w:r>
      <w:r w:rsidR="00462A5E" w:rsidRPr="003D1339">
        <w:rPr>
          <w:rFonts w:ascii="Times New Roman" w:hAnsi="Times New Roman" w:cs="Times New Roman"/>
          <w:sz w:val="24"/>
          <w:szCs w:val="24"/>
        </w:rPr>
        <w:t>until the wetland is fully restored to its prior state</w:t>
      </w:r>
      <w:r w:rsidR="00A05AE2" w:rsidRPr="003D1339">
        <w:rPr>
          <w:rFonts w:ascii="Times New Roman" w:hAnsi="Times New Roman" w:cs="Times New Roman"/>
          <w:sz w:val="24"/>
          <w:szCs w:val="24"/>
        </w:rPr>
        <w:t>.</w:t>
      </w:r>
      <w:r w:rsidR="00462A5E" w:rsidRPr="003D1339">
        <w:rPr>
          <w:rFonts w:ascii="Times New Roman" w:hAnsi="Times New Roman" w:cs="Times New Roman"/>
          <w:sz w:val="24"/>
          <w:szCs w:val="24"/>
        </w:rPr>
        <w:t xml:space="preserve">  </w:t>
      </w:r>
      <w:r w:rsidR="00824D2B" w:rsidRPr="003D1339">
        <w:rPr>
          <w:rFonts w:ascii="Times New Roman" w:hAnsi="Times New Roman" w:cs="Times New Roman"/>
          <w:sz w:val="24"/>
          <w:szCs w:val="24"/>
        </w:rPr>
        <w:t xml:space="preserve">All of the tenants moved out of the building immediately.  </w:t>
      </w:r>
      <w:r w:rsidR="00462A5E" w:rsidRPr="003D1339">
        <w:rPr>
          <w:rFonts w:ascii="Times New Roman" w:hAnsi="Times New Roman" w:cs="Times New Roman"/>
          <w:sz w:val="24"/>
          <w:szCs w:val="24"/>
        </w:rPr>
        <w:t>Because the environmental damage was extensive, no clear estimate could be given on how long restoration would take.</w:t>
      </w:r>
    </w:p>
    <w:p w14:paraId="78DF2E55" w14:textId="6E97A5A4" w:rsidR="003036AF" w:rsidRPr="003036AF" w:rsidRDefault="002B69E0" w:rsidP="008B100C">
      <w:pPr>
        <w:rPr>
          <w:rFonts w:ascii="Times New Roman" w:hAnsi="Times New Roman" w:cs="Times New Roman"/>
          <w:sz w:val="24"/>
          <w:szCs w:val="24"/>
        </w:rPr>
      </w:pPr>
      <w:r w:rsidRPr="003D1339">
        <w:rPr>
          <w:rFonts w:ascii="Times New Roman" w:hAnsi="Times New Roman" w:cs="Times New Roman"/>
          <w:sz w:val="24"/>
          <w:szCs w:val="24"/>
        </w:rPr>
        <w:t>All of the events above took place within a single year.  The following disputes have arisen.  Please explain how they will likely be resolved by a court.  Be sure to consider arguments that will be made on all sides.  Do not comment on other possible disputes, unless resolving those disputes might be important to addressing the specific questions below.</w:t>
      </w:r>
      <w:r w:rsidR="00E33359" w:rsidRPr="003D1339">
        <w:rPr>
          <w:rFonts w:ascii="Times New Roman" w:hAnsi="Times New Roman" w:cs="Times New Roman"/>
          <w:sz w:val="24"/>
          <w:szCs w:val="24"/>
        </w:rPr>
        <w:t xml:space="preserve">  If more than one reason justifies an outcome, be sure to discuss all of the </w:t>
      </w:r>
      <w:r w:rsidR="002539BF">
        <w:rPr>
          <w:rFonts w:ascii="Times New Roman" w:hAnsi="Times New Roman" w:cs="Times New Roman"/>
          <w:sz w:val="24"/>
          <w:szCs w:val="24"/>
        </w:rPr>
        <w:t>reasons</w:t>
      </w:r>
      <w:r w:rsidR="00E33359" w:rsidRPr="003D1339">
        <w:rPr>
          <w:rFonts w:ascii="Times New Roman" w:hAnsi="Times New Roman" w:cs="Times New Roman"/>
          <w:sz w:val="24"/>
          <w:szCs w:val="24"/>
        </w:rPr>
        <w:t>.</w:t>
      </w:r>
      <w:r w:rsidR="00501EA6" w:rsidRPr="003D1339">
        <w:rPr>
          <w:rFonts w:ascii="Times New Roman" w:hAnsi="Times New Roman" w:cs="Times New Roman"/>
          <w:sz w:val="24"/>
          <w:szCs w:val="24"/>
        </w:rPr>
        <w:t xml:space="preserve">  Make sure to consider how this case might come out differently depending on whether the events all take place in California or </w:t>
      </w:r>
      <w:r w:rsidR="009C3E00" w:rsidRPr="003D1339">
        <w:rPr>
          <w:rFonts w:ascii="Times New Roman" w:hAnsi="Times New Roman" w:cs="Times New Roman"/>
          <w:sz w:val="24"/>
          <w:szCs w:val="24"/>
        </w:rPr>
        <w:t xml:space="preserve">all </w:t>
      </w:r>
      <w:r w:rsidR="00501EA6" w:rsidRPr="003D1339">
        <w:rPr>
          <w:rFonts w:ascii="Times New Roman" w:hAnsi="Times New Roman" w:cs="Times New Roman"/>
          <w:sz w:val="24"/>
          <w:szCs w:val="24"/>
        </w:rPr>
        <w:t>in Nevada</w:t>
      </w:r>
      <w:r w:rsidR="004B509C" w:rsidRPr="003D1339">
        <w:rPr>
          <w:rFonts w:ascii="Times New Roman" w:hAnsi="Times New Roman" w:cs="Times New Roman"/>
          <w:sz w:val="24"/>
          <w:szCs w:val="24"/>
        </w:rPr>
        <w:t xml:space="preserve"> – i.e. depending on whether California or Nevada law applies</w:t>
      </w:r>
      <w:r w:rsidR="00501EA6" w:rsidRPr="003D1339">
        <w:rPr>
          <w:rFonts w:ascii="Times New Roman" w:hAnsi="Times New Roman" w:cs="Times New Roman"/>
          <w:sz w:val="24"/>
          <w:szCs w:val="24"/>
        </w:rPr>
        <w:t>.</w:t>
      </w:r>
      <w:r w:rsidR="009D289B" w:rsidRPr="003D1339">
        <w:rPr>
          <w:rFonts w:ascii="Times New Roman" w:hAnsi="Times New Roman" w:cs="Times New Roman"/>
          <w:sz w:val="24"/>
          <w:szCs w:val="24"/>
        </w:rPr>
        <w:t xml:space="preserve">  We have not studied Nevada law.  You can assume that Nevada law differs in m</w:t>
      </w:r>
      <w:r w:rsidR="002D0C10" w:rsidRPr="003D1339">
        <w:rPr>
          <w:rFonts w:ascii="Times New Roman" w:hAnsi="Times New Roman" w:cs="Times New Roman"/>
          <w:sz w:val="24"/>
          <w:szCs w:val="24"/>
        </w:rPr>
        <w:t xml:space="preserve">any </w:t>
      </w:r>
      <w:r w:rsidR="009D289B" w:rsidRPr="003D1339">
        <w:rPr>
          <w:rFonts w:ascii="Times New Roman" w:hAnsi="Times New Roman" w:cs="Times New Roman"/>
          <w:sz w:val="24"/>
          <w:szCs w:val="24"/>
        </w:rPr>
        <w:t>respects from California law</w:t>
      </w:r>
      <w:r w:rsidR="002D0C10" w:rsidRPr="003D1339">
        <w:rPr>
          <w:rFonts w:ascii="Times New Roman" w:hAnsi="Times New Roman" w:cs="Times New Roman"/>
          <w:sz w:val="24"/>
          <w:szCs w:val="24"/>
        </w:rPr>
        <w:t>.  If California has adopted the majority rule on some topic, Nevada has adopted the minority rule, and vice versa.</w:t>
      </w:r>
      <w:r w:rsidR="000F3BAA">
        <w:rPr>
          <w:rFonts w:ascii="Times New Roman" w:hAnsi="Times New Roman" w:cs="Times New Roman"/>
          <w:sz w:val="24"/>
          <w:szCs w:val="24"/>
        </w:rPr>
        <w:t xml:space="preserve">  Similarly, assume that Nevada has no statute prohibiting discrimination in housing. </w:t>
      </w:r>
      <w:r w:rsidR="002D0C10" w:rsidRPr="003D1339">
        <w:rPr>
          <w:rFonts w:ascii="Times New Roman" w:hAnsi="Times New Roman" w:cs="Times New Roman"/>
          <w:sz w:val="24"/>
          <w:szCs w:val="24"/>
        </w:rPr>
        <w:t xml:space="preserve"> </w:t>
      </w:r>
      <w:r w:rsidR="0051251A" w:rsidRPr="003D1339">
        <w:rPr>
          <w:rFonts w:ascii="Times New Roman" w:hAnsi="Times New Roman" w:cs="Times New Roman"/>
          <w:sz w:val="24"/>
          <w:szCs w:val="24"/>
        </w:rPr>
        <w:t xml:space="preserve">For the rule against perpetuities, </w:t>
      </w:r>
      <w:r w:rsidR="003036AF">
        <w:rPr>
          <w:rFonts w:ascii="Times New Roman" w:hAnsi="Times New Roman" w:cs="Times New Roman"/>
          <w:sz w:val="24"/>
          <w:szCs w:val="24"/>
        </w:rPr>
        <w:t xml:space="preserve">assume </w:t>
      </w:r>
      <w:r w:rsidR="0051251A" w:rsidRPr="003D1339">
        <w:rPr>
          <w:rFonts w:ascii="Times New Roman" w:hAnsi="Times New Roman" w:cs="Times New Roman"/>
          <w:sz w:val="24"/>
          <w:szCs w:val="24"/>
        </w:rPr>
        <w:t>Nevada applies the traditional common law version.</w:t>
      </w:r>
      <w:r w:rsidR="000F3BAA" w:rsidRPr="000F3BAA">
        <w:rPr>
          <w:rFonts w:ascii="Times New Roman" w:hAnsi="Times New Roman" w:cs="Times New Roman"/>
          <w:sz w:val="24"/>
          <w:szCs w:val="24"/>
        </w:rPr>
        <w:t xml:space="preserve"> </w:t>
      </w:r>
      <w:r w:rsidR="000F3BAA">
        <w:rPr>
          <w:rFonts w:ascii="Times New Roman" w:hAnsi="Times New Roman" w:cs="Times New Roman"/>
          <w:sz w:val="24"/>
          <w:szCs w:val="24"/>
        </w:rPr>
        <w:t>In answering the questions below, in addition to class materials, you may use the case and statutes on the following pages (pages 4-8).</w:t>
      </w:r>
      <w:r w:rsidR="003036AF">
        <w:rPr>
          <w:rFonts w:ascii="Times New Roman" w:hAnsi="Times New Roman" w:cs="Times New Roman"/>
          <w:sz w:val="24"/>
          <w:szCs w:val="24"/>
        </w:rPr>
        <w:t xml:space="preserve">  Assume that the California Supreme Court has endorsed the reasoning of </w:t>
      </w:r>
      <w:r w:rsidR="003036AF">
        <w:rPr>
          <w:rFonts w:ascii="Times New Roman" w:hAnsi="Times New Roman" w:cs="Times New Roman"/>
          <w:i/>
          <w:sz w:val="24"/>
          <w:szCs w:val="24"/>
        </w:rPr>
        <w:t xml:space="preserve">Nat’l Packing Corp. </w:t>
      </w:r>
      <w:r w:rsidR="003036AF">
        <w:rPr>
          <w:rFonts w:ascii="Times New Roman" w:hAnsi="Times New Roman" w:cs="Times New Roman"/>
          <w:sz w:val="24"/>
          <w:szCs w:val="24"/>
        </w:rPr>
        <w:t xml:space="preserve">v. </w:t>
      </w:r>
      <w:r w:rsidR="003036AF">
        <w:rPr>
          <w:rFonts w:ascii="Times New Roman" w:hAnsi="Times New Roman" w:cs="Times New Roman"/>
          <w:i/>
          <w:sz w:val="24"/>
          <w:szCs w:val="24"/>
        </w:rPr>
        <w:t>Belmont</w:t>
      </w:r>
      <w:r w:rsidR="003036AF">
        <w:rPr>
          <w:rFonts w:ascii="Times New Roman" w:hAnsi="Times New Roman" w:cs="Times New Roman"/>
          <w:sz w:val="24"/>
          <w:szCs w:val="24"/>
        </w:rPr>
        <w:t>, but that the Nevada Supreme court has rejected it.</w:t>
      </w:r>
    </w:p>
    <w:p w14:paraId="13595EC3" w14:textId="77777777" w:rsidR="000F3BAA" w:rsidRPr="003D1339" w:rsidRDefault="000F3BAA" w:rsidP="008B100C">
      <w:pPr>
        <w:rPr>
          <w:rFonts w:ascii="Times New Roman" w:hAnsi="Times New Roman" w:cs="Times New Roman"/>
          <w:sz w:val="24"/>
          <w:szCs w:val="24"/>
        </w:rPr>
      </w:pPr>
    </w:p>
    <w:p w14:paraId="06665F3F" w14:textId="77777777" w:rsidR="002B69E0" w:rsidRPr="003D1339" w:rsidRDefault="002B69E0" w:rsidP="002B69E0">
      <w:pPr>
        <w:pStyle w:val="ListParagraph"/>
        <w:numPr>
          <w:ilvl w:val="0"/>
          <w:numId w:val="2"/>
        </w:numPr>
        <w:rPr>
          <w:rFonts w:ascii="Times New Roman" w:hAnsi="Times New Roman" w:cs="Times New Roman"/>
          <w:sz w:val="24"/>
          <w:szCs w:val="24"/>
        </w:rPr>
      </w:pPr>
      <w:r w:rsidRPr="003D1339">
        <w:rPr>
          <w:rFonts w:ascii="Times New Roman" w:hAnsi="Times New Roman" w:cs="Times New Roman"/>
          <w:sz w:val="24"/>
          <w:szCs w:val="24"/>
        </w:rPr>
        <w:t xml:space="preserve">Who owns the apartment building?  Claims to ownership have been advanced by </w:t>
      </w:r>
      <w:r w:rsidR="00962507" w:rsidRPr="003D1339">
        <w:rPr>
          <w:rFonts w:ascii="Times New Roman" w:hAnsi="Times New Roman" w:cs="Times New Roman"/>
          <w:sz w:val="24"/>
          <w:szCs w:val="24"/>
        </w:rPr>
        <w:t>Hilarity</w:t>
      </w:r>
      <w:r w:rsidR="00FA723B" w:rsidRPr="003D1339">
        <w:rPr>
          <w:rFonts w:ascii="Times New Roman" w:hAnsi="Times New Roman" w:cs="Times New Roman"/>
          <w:sz w:val="24"/>
          <w:szCs w:val="24"/>
        </w:rPr>
        <w:t xml:space="preserve">, </w:t>
      </w:r>
      <w:r w:rsidR="00160C5C" w:rsidRPr="003D1339">
        <w:rPr>
          <w:rFonts w:ascii="Times New Roman" w:hAnsi="Times New Roman" w:cs="Times New Roman"/>
          <w:sz w:val="24"/>
          <w:szCs w:val="24"/>
        </w:rPr>
        <w:t>Ironica</w:t>
      </w:r>
      <w:r w:rsidR="00FA723B" w:rsidRPr="003D1339">
        <w:rPr>
          <w:rFonts w:ascii="Times New Roman" w:hAnsi="Times New Roman" w:cs="Times New Roman"/>
          <w:sz w:val="24"/>
          <w:szCs w:val="24"/>
        </w:rPr>
        <w:t xml:space="preserve">, </w:t>
      </w:r>
      <w:r w:rsidRPr="003D1339">
        <w:rPr>
          <w:rFonts w:ascii="Times New Roman" w:hAnsi="Times New Roman" w:cs="Times New Roman"/>
          <w:sz w:val="24"/>
          <w:szCs w:val="24"/>
        </w:rPr>
        <w:t>and Mike Sense.</w:t>
      </w:r>
    </w:p>
    <w:p w14:paraId="06665F40" w14:textId="23336523" w:rsidR="002B69E0" w:rsidRPr="003D1339" w:rsidRDefault="002B69E0" w:rsidP="002B69E0">
      <w:pPr>
        <w:pStyle w:val="ListParagraph"/>
        <w:numPr>
          <w:ilvl w:val="0"/>
          <w:numId w:val="2"/>
        </w:numPr>
        <w:rPr>
          <w:rFonts w:ascii="Times New Roman" w:hAnsi="Times New Roman" w:cs="Times New Roman"/>
          <w:sz w:val="24"/>
          <w:szCs w:val="24"/>
        </w:rPr>
      </w:pPr>
      <w:r w:rsidRPr="003D1339">
        <w:rPr>
          <w:rFonts w:ascii="Times New Roman" w:hAnsi="Times New Roman" w:cs="Times New Roman"/>
          <w:sz w:val="24"/>
          <w:szCs w:val="24"/>
        </w:rPr>
        <w:t xml:space="preserve">The loan taken out by </w:t>
      </w:r>
      <w:r w:rsidR="00FA723B" w:rsidRPr="003D1339">
        <w:rPr>
          <w:rFonts w:ascii="Times New Roman" w:hAnsi="Times New Roman" w:cs="Times New Roman"/>
          <w:sz w:val="24"/>
          <w:szCs w:val="24"/>
        </w:rPr>
        <w:t>Don</w:t>
      </w:r>
      <w:r w:rsidR="009D289B" w:rsidRPr="003D1339">
        <w:rPr>
          <w:rFonts w:ascii="Times New Roman" w:hAnsi="Times New Roman" w:cs="Times New Roman"/>
          <w:sz w:val="24"/>
          <w:szCs w:val="24"/>
        </w:rPr>
        <w:t>nie</w:t>
      </w:r>
      <w:r w:rsidR="00FA723B" w:rsidRPr="003D1339">
        <w:rPr>
          <w:rFonts w:ascii="Times New Roman" w:hAnsi="Times New Roman" w:cs="Times New Roman"/>
          <w:sz w:val="24"/>
          <w:szCs w:val="24"/>
        </w:rPr>
        <w:t xml:space="preserve"> </w:t>
      </w:r>
      <w:r w:rsidRPr="003D1339">
        <w:rPr>
          <w:rFonts w:ascii="Times New Roman" w:hAnsi="Times New Roman" w:cs="Times New Roman"/>
          <w:sz w:val="24"/>
          <w:szCs w:val="24"/>
        </w:rPr>
        <w:t xml:space="preserve">has not been repaid.  </w:t>
      </w:r>
      <w:r w:rsidR="00893222" w:rsidRPr="003D1339">
        <w:rPr>
          <w:rFonts w:ascii="Times New Roman" w:hAnsi="Times New Roman" w:cs="Times New Roman"/>
          <w:sz w:val="24"/>
          <w:szCs w:val="24"/>
        </w:rPr>
        <w:t>Donnie remains personally liable for this loan.  But he is broke.  So t</w:t>
      </w:r>
      <w:r w:rsidRPr="003D1339">
        <w:rPr>
          <w:rFonts w:ascii="Times New Roman" w:hAnsi="Times New Roman" w:cs="Times New Roman"/>
          <w:sz w:val="24"/>
          <w:szCs w:val="24"/>
        </w:rPr>
        <w:t>he bank seeks to have the loan repaid by whoever owns the building</w:t>
      </w:r>
      <w:r w:rsidR="00893222" w:rsidRPr="003D1339">
        <w:rPr>
          <w:rFonts w:ascii="Times New Roman" w:hAnsi="Times New Roman" w:cs="Times New Roman"/>
          <w:sz w:val="24"/>
          <w:szCs w:val="24"/>
        </w:rPr>
        <w:t xml:space="preserve"> – Hilarity, Ironica, or Sense</w:t>
      </w:r>
      <w:r w:rsidRPr="003D1339">
        <w:rPr>
          <w:rFonts w:ascii="Times New Roman" w:hAnsi="Times New Roman" w:cs="Times New Roman"/>
          <w:sz w:val="24"/>
          <w:szCs w:val="24"/>
        </w:rPr>
        <w:t xml:space="preserve">.  Can it </w:t>
      </w:r>
      <w:r w:rsidR="00893222" w:rsidRPr="003D1339">
        <w:rPr>
          <w:rFonts w:ascii="Times New Roman" w:hAnsi="Times New Roman" w:cs="Times New Roman"/>
          <w:sz w:val="24"/>
          <w:szCs w:val="24"/>
        </w:rPr>
        <w:t>collect from whichever of them owns the building</w:t>
      </w:r>
      <w:r w:rsidRPr="003D1339">
        <w:rPr>
          <w:rFonts w:ascii="Times New Roman" w:hAnsi="Times New Roman" w:cs="Times New Roman"/>
          <w:sz w:val="24"/>
          <w:szCs w:val="24"/>
        </w:rPr>
        <w:t xml:space="preserve">? </w:t>
      </w:r>
      <w:r w:rsidR="00893222" w:rsidRPr="003D1339">
        <w:rPr>
          <w:rFonts w:ascii="Times New Roman" w:hAnsi="Times New Roman" w:cs="Times New Roman"/>
          <w:sz w:val="24"/>
          <w:szCs w:val="24"/>
        </w:rPr>
        <w:t xml:space="preserve"> Even if you reached a definite conclusion on question 1, be sure to answer this question based on alternative assumptions on who owns the building.</w:t>
      </w:r>
      <w:r w:rsidRPr="003D1339">
        <w:rPr>
          <w:rFonts w:ascii="Times New Roman" w:hAnsi="Times New Roman" w:cs="Times New Roman"/>
          <w:sz w:val="24"/>
          <w:szCs w:val="24"/>
        </w:rPr>
        <w:t xml:space="preserve"> </w:t>
      </w:r>
    </w:p>
    <w:p w14:paraId="06665F41" w14:textId="31F454C7" w:rsidR="002B69E0" w:rsidRPr="003D1339" w:rsidRDefault="00717499" w:rsidP="002B69E0">
      <w:pPr>
        <w:pStyle w:val="ListParagraph"/>
        <w:numPr>
          <w:ilvl w:val="0"/>
          <w:numId w:val="2"/>
        </w:numPr>
        <w:rPr>
          <w:rFonts w:ascii="Times New Roman" w:hAnsi="Times New Roman" w:cs="Times New Roman"/>
          <w:sz w:val="24"/>
          <w:szCs w:val="24"/>
        </w:rPr>
      </w:pPr>
      <w:r w:rsidRPr="003D1339">
        <w:rPr>
          <w:rFonts w:ascii="Times New Roman" w:hAnsi="Times New Roman" w:cs="Times New Roman"/>
          <w:sz w:val="24"/>
          <w:szCs w:val="24"/>
        </w:rPr>
        <w:t>E</w:t>
      </w:r>
      <w:r w:rsidR="009D3E8C" w:rsidRPr="003D1339">
        <w:rPr>
          <w:rFonts w:ascii="Times New Roman" w:hAnsi="Times New Roman" w:cs="Times New Roman"/>
          <w:sz w:val="24"/>
          <w:szCs w:val="24"/>
        </w:rPr>
        <w:t xml:space="preserve">ach possible </w:t>
      </w:r>
      <w:r w:rsidR="002B69E0" w:rsidRPr="003D1339">
        <w:rPr>
          <w:rFonts w:ascii="Times New Roman" w:hAnsi="Times New Roman" w:cs="Times New Roman"/>
          <w:sz w:val="24"/>
          <w:szCs w:val="24"/>
        </w:rPr>
        <w:t xml:space="preserve">owner of the building </w:t>
      </w:r>
      <w:r w:rsidR="00462A5E" w:rsidRPr="003D1339">
        <w:rPr>
          <w:rFonts w:ascii="Times New Roman" w:hAnsi="Times New Roman" w:cs="Times New Roman"/>
          <w:sz w:val="24"/>
          <w:szCs w:val="24"/>
        </w:rPr>
        <w:t>(</w:t>
      </w:r>
      <w:r w:rsidR="00962507" w:rsidRPr="003D1339">
        <w:rPr>
          <w:rFonts w:ascii="Times New Roman" w:hAnsi="Times New Roman" w:cs="Times New Roman"/>
          <w:sz w:val="24"/>
          <w:szCs w:val="24"/>
        </w:rPr>
        <w:t>Hilarity</w:t>
      </w:r>
      <w:r w:rsidR="00FA723B" w:rsidRPr="003D1339">
        <w:rPr>
          <w:rFonts w:ascii="Times New Roman" w:hAnsi="Times New Roman" w:cs="Times New Roman"/>
          <w:sz w:val="24"/>
          <w:szCs w:val="24"/>
        </w:rPr>
        <w:t xml:space="preserve">, </w:t>
      </w:r>
      <w:r w:rsidR="00160C5C" w:rsidRPr="003D1339">
        <w:rPr>
          <w:rFonts w:ascii="Times New Roman" w:hAnsi="Times New Roman" w:cs="Times New Roman"/>
          <w:sz w:val="24"/>
          <w:szCs w:val="24"/>
        </w:rPr>
        <w:t>Ironica</w:t>
      </w:r>
      <w:r w:rsidR="00462A5E" w:rsidRPr="003D1339">
        <w:rPr>
          <w:rFonts w:ascii="Times New Roman" w:hAnsi="Times New Roman" w:cs="Times New Roman"/>
          <w:sz w:val="24"/>
          <w:szCs w:val="24"/>
        </w:rPr>
        <w:t xml:space="preserve">, and Sense) </w:t>
      </w:r>
      <w:r w:rsidR="002B69E0" w:rsidRPr="003D1339">
        <w:rPr>
          <w:rFonts w:ascii="Times New Roman" w:hAnsi="Times New Roman" w:cs="Times New Roman"/>
          <w:sz w:val="24"/>
          <w:szCs w:val="24"/>
        </w:rPr>
        <w:t>seek</w:t>
      </w:r>
      <w:r w:rsidRPr="003D1339">
        <w:rPr>
          <w:rFonts w:ascii="Times New Roman" w:hAnsi="Times New Roman" w:cs="Times New Roman"/>
          <w:sz w:val="24"/>
          <w:szCs w:val="24"/>
        </w:rPr>
        <w:t>s</w:t>
      </w:r>
      <w:r w:rsidR="002B69E0" w:rsidRPr="003D1339">
        <w:rPr>
          <w:rFonts w:ascii="Times New Roman" w:hAnsi="Times New Roman" w:cs="Times New Roman"/>
          <w:sz w:val="24"/>
          <w:szCs w:val="24"/>
        </w:rPr>
        <w:t xml:space="preserve"> compensation from the federal government for the losses they experience due to the occupancy moratorium.  The government will force the owner to pay f</w:t>
      </w:r>
      <w:r w:rsidR="00180A69" w:rsidRPr="003D1339">
        <w:rPr>
          <w:rFonts w:ascii="Times New Roman" w:hAnsi="Times New Roman" w:cs="Times New Roman"/>
          <w:sz w:val="24"/>
          <w:szCs w:val="24"/>
        </w:rPr>
        <w:t>or the restoration.  The owner doe</w:t>
      </w:r>
      <w:r w:rsidR="002B69E0" w:rsidRPr="003D1339">
        <w:rPr>
          <w:rFonts w:ascii="Times New Roman" w:hAnsi="Times New Roman" w:cs="Times New Roman"/>
          <w:sz w:val="24"/>
          <w:szCs w:val="24"/>
        </w:rPr>
        <w:t xml:space="preserve">s not </w:t>
      </w:r>
      <w:r w:rsidR="00180A69" w:rsidRPr="003D1339">
        <w:rPr>
          <w:rFonts w:ascii="Times New Roman" w:hAnsi="Times New Roman" w:cs="Times New Roman"/>
          <w:sz w:val="24"/>
          <w:szCs w:val="24"/>
        </w:rPr>
        <w:t>object to this expense</w:t>
      </w:r>
      <w:r w:rsidR="002B69E0" w:rsidRPr="003D1339">
        <w:rPr>
          <w:rFonts w:ascii="Times New Roman" w:hAnsi="Times New Roman" w:cs="Times New Roman"/>
          <w:sz w:val="24"/>
          <w:szCs w:val="24"/>
        </w:rPr>
        <w:t xml:space="preserve">.  </w:t>
      </w:r>
      <w:r w:rsidR="009D3E8C" w:rsidRPr="003D1339">
        <w:rPr>
          <w:rFonts w:ascii="Times New Roman" w:hAnsi="Times New Roman" w:cs="Times New Roman"/>
          <w:sz w:val="24"/>
          <w:szCs w:val="24"/>
        </w:rPr>
        <w:t xml:space="preserve">Must the government compensate?  </w:t>
      </w:r>
      <w:r w:rsidR="00893222" w:rsidRPr="003D1339">
        <w:rPr>
          <w:rFonts w:ascii="Times New Roman" w:hAnsi="Times New Roman" w:cs="Times New Roman"/>
          <w:sz w:val="24"/>
          <w:szCs w:val="24"/>
        </w:rPr>
        <w:t xml:space="preserve"> As with question 2, even if you reached a definite conclusion on question 1, be sure to answer this question based on alternative assumptions on who owns the building. </w:t>
      </w:r>
    </w:p>
    <w:p w14:paraId="06665F42" w14:textId="1CBC7445" w:rsidR="003816CC" w:rsidRDefault="002B69E0" w:rsidP="00C17B5A">
      <w:pPr>
        <w:pStyle w:val="ListParagraph"/>
        <w:numPr>
          <w:ilvl w:val="0"/>
          <w:numId w:val="2"/>
        </w:numPr>
        <w:rPr>
          <w:rFonts w:ascii="Times New Roman" w:hAnsi="Times New Roman" w:cs="Times New Roman"/>
          <w:sz w:val="24"/>
          <w:szCs w:val="24"/>
        </w:rPr>
      </w:pPr>
      <w:r w:rsidRPr="003D1339">
        <w:rPr>
          <w:rFonts w:ascii="Times New Roman" w:hAnsi="Times New Roman" w:cs="Times New Roman"/>
          <w:sz w:val="24"/>
          <w:szCs w:val="24"/>
        </w:rPr>
        <w:t xml:space="preserve">Mike Sense sues </w:t>
      </w:r>
      <w:r w:rsidR="00FA723B" w:rsidRPr="003D1339">
        <w:rPr>
          <w:rFonts w:ascii="Times New Roman" w:hAnsi="Times New Roman" w:cs="Times New Roman"/>
          <w:sz w:val="24"/>
          <w:szCs w:val="24"/>
        </w:rPr>
        <w:t>Don</w:t>
      </w:r>
      <w:r w:rsidR="00893222" w:rsidRPr="003D1339">
        <w:rPr>
          <w:rFonts w:ascii="Times New Roman" w:hAnsi="Times New Roman" w:cs="Times New Roman"/>
          <w:sz w:val="24"/>
          <w:szCs w:val="24"/>
        </w:rPr>
        <w:t>nie</w:t>
      </w:r>
      <w:r w:rsidR="00B11E6D" w:rsidRPr="003D1339">
        <w:rPr>
          <w:rFonts w:ascii="Times New Roman" w:hAnsi="Times New Roman" w:cs="Times New Roman"/>
          <w:sz w:val="24"/>
          <w:szCs w:val="24"/>
        </w:rPr>
        <w:t xml:space="preserve"> </w:t>
      </w:r>
      <w:r w:rsidRPr="003D1339">
        <w:rPr>
          <w:rFonts w:ascii="Times New Roman" w:hAnsi="Times New Roman" w:cs="Times New Roman"/>
          <w:sz w:val="24"/>
          <w:szCs w:val="24"/>
        </w:rPr>
        <w:t xml:space="preserve">for violation of the warranties in the warranty deed.  </w:t>
      </w:r>
      <w:r w:rsidR="00D53DA1" w:rsidRPr="003D1339">
        <w:rPr>
          <w:rFonts w:ascii="Times New Roman" w:hAnsi="Times New Roman" w:cs="Times New Roman"/>
          <w:sz w:val="24"/>
          <w:szCs w:val="24"/>
        </w:rPr>
        <w:t xml:space="preserve">Be sure to consider how his claim will differ depending on whether he is declared the owner of </w:t>
      </w:r>
      <w:r w:rsidRPr="003D1339">
        <w:rPr>
          <w:rFonts w:ascii="Times New Roman" w:hAnsi="Times New Roman" w:cs="Times New Roman"/>
          <w:sz w:val="24"/>
          <w:szCs w:val="24"/>
        </w:rPr>
        <w:t>the building.</w:t>
      </w:r>
    </w:p>
    <w:p w14:paraId="711505E6" w14:textId="77777777" w:rsidR="003816CC" w:rsidRPr="003816CC" w:rsidRDefault="003816CC" w:rsidP="003816CC">
      <w:pPr>
        <w:pStyle w:val="CaseName"/>
        <w:rPr>
          <w:rFonts w:ascii="Times New Roman" w:hAnsi="Times New Roman" w:cs="Times New Roman"/>
          <w:sz w:val="24"/>
          <w:szCs w:val="24"/>
        </w:rPr>
      </w:pPr>
      <w:r w:rsidRPr="003816CC">
        <w:rPr>
          <w:rFonts w:ascii="Times New Roman" w:hAnsi="Times New Roman" w:cs="Times New Roman"/>
          <w:sz w:val="24"/>
          <w:szCs w:val="24"/>
        </w:rPr>
        <w:t>Nat’l Packing Corp. v. Belmont</w:t>
      </w:r>
    </w:p>
    <w:p w14:paraId="4E904AA1" w14:textId="77777777" w:rsidR="003816CC" w:rsidRPr="003816CC" w:rsidRDefault="003816CC" w:rsidP="003816CC">
      <w:pPr>
        <w:pStyle w:val="Citation"/>
        <w:rPr>
          <w:rFonts w:ascii="Times New Roman" w:hAnsi="Times New Roman" w:cs="Times New Roman"/>
          <w:sz w:val="24"/>
          <w:szCs w:val="24"/>
        </w:rPr>
      </w:pPr>
      <w:r w:rsidRPr="003816CC">
        <w:rPr>
          <w:rFonts w:ascii="Times New Roman" w:hAnsi="Times New Roman" w:cs="Times New Roman"/>
          <w:sz w:val="24"/>
          <w:szCs w:val="24"/>
        </w:rPr>
        <w:t>547 N.E.2d 373 (Ohio Ct. App. 1988)</w:t>
      </w:r>
    </w:p>
    <w:p w14:paraId="108BE8EB" w14:textId="77777777" w:rsidR="003816CC" w:rsidRPr="003816CC" w:rsidRDefault="003816CC" w:rsidP="003816CC">
      <w:pPr>
        <w:pStyle w:val="JudgesName"/>
        <w:jc w:val="both"/>
        <w:rPr>
          <w:rFonts w:ascii="Times New Roman" w:hAnsi="Times New Roman" w:cs="Times New Roman"/>
          <w:sz w:val="24"/>
        </w:rPr>
      </w:pPr>
      <w:r w:rsidRPr="003816CC">
        <w:rPr>
          <w:rFonts w:ascii="Times New Roman" w:hAnsi="Times New Roman" w:cs="Times New Roman"/>
          <w:sz w:val="24"/>
        </w:rPr>
        <w:t>DOAN, J.</w:t>
      </w:r>
    </w:p>
    <w:p w14:paraId="62733E75" w14:textId="77777777" w:rsidR="003816CC" w:rsidRPr="003816CC" w:rsidRDefault="003816CC" w:rsidP="003816CC">
      <w:pPr>
        <w:spacing w:after="240"/>
        <w:jc w:val="both"/>
        <w:rPr>
          <w:rFonts w:ascii="Times New Roman" w:hAnsi="Times New Roman" w:cs="Times New Roman"/>
          <w:sz w:val="24"/>
          <w:szCs w:val="24"/>
        </w:rPr>
      </w:pPr>
      <w:r w:rsidRPr="003816CC">
        <w:rPr>
          <w:rFonts w:ascii="Times New Roman" w:hAnsi="Times New Roman" w:cs="Times New Roman"/>
          <w:sz w:val="24"/>
          <w:szCs w:val="24"/>
        </w:rPr>
        <w:t xml:space="preserve">In the instant appeal, we must determine whether to apply the venerable doctrine of </w:t>
      </w:r>
      <w:r w:rsidRPr="003816CC">
        <w:rPr>
          <w:rFonts w:ascii="Times New Roman" w:hAnsi="Times New Roman" w:cs="Times New Roman"/>
          <w:i/>
          <w:iCs/>
          <w:sz w:val="24"/>
          <w:szCs w:val="24"/>
        </w:rPr>
        <w:t>idem sonans</w:t>
      </w:r>
      <w:r w:rsidRPr="003816CC">
        <w:rPr>
          <w:rFonts w:ascii="Times New Roman" w:hAnsi="Times New Roman" w:cs="Times New Roman"/>
          <w:sz w:val="24"/>
          <w:szCs w:val="24"/>
        </w:rPr>
        <w:t xml:space="preserve"> to the facts and circumstances set forth in the record. …</w:t>
      </w:r>
    </w:p>
    <w:p w14:paraId="7A300C75" w14:textId="77777777" w:rsidR="003816CC" w:rsidRPr="003816CC" w:rsidRDefault="003816CC" w:rsidP="003816CC">
      <w:pPr>
        <w:spacing w:after="240"/>
        <w:jc w:val="both"/>
        <w:rPr>
          <w:rFonts w:ascii="Times New Roman" w:hAnsi="Times New Roman" w:cs="Times New Roman"/>
          <w:sz w:val="24"/>
          <w:szCs w:val="24"/>
        </w:rPr>
      </w:pPr>
      <w:r w:rsidRPr="003816CC">
        <w:rPr>
          <w:rFonts w:ascii="Times New Roman" w:hAnsi="Times New Roman" w:cs="Times New Roman"/>
          <w:sz w:val="24"/>
          <w:szCs w:val="24"/>
        </w:rPr>
        <w:t>The record reveals that the plaintiff, National Packaging Corporation (“NPC”), sued Michael Bolan, d.b.a. Trade Packaging, in the Franklin County Court of Common Pleas. On November 25, 1983, NPC obtained a judgment for $3,331.76 plus interest; and, at a later time, it certified the judgment in Hamilton County, with Bolan’s name incorrectly spelled “B-O-L-E-N” in the docket book. At the time the judgment was certified, Michael Bolan owned property in Hamilton County at 8107 Camargo Road and 815 Indian Hill Road.</w:t>
      </w:r>
    </w:p>
    <w:p w14:paraId="205ACB4F" w14:textId="77777777" w:rsidR="003816CC" w:rsidRPr="003816CC" w:rsidRDefault="003816CC" w:rsidP="003816CC">
      <w:pPr>
        <w:spacing w:after="240"/>
        <w:jc w:val="both"/>
        <w:rPr>
          <w:rFonts w:ascii="Times New Roman" w:hAnsi="Times New Roman" w:cs="Times New Roman"/>
          <w:sz w:val="24"/>
          <w:szCs w:val="24"/>
        </w:rPr>
      </w:pPr>
      <w:r w:rsidRPr="003816CC">
        <w:rPr>
          <w:rFonts w:ascii="Times New Roman" w:hAnsi="Times New Roman" w:cs="Times New Roman"/>
          <w:sz w:val="24"/>
          <w:szCs w:val="24"/>
        </w:rPr>
        <w:t>Bolan’s ex-wife, Elaine (now Elaine Belmont), brought a foreclosure action against the property located at 815 Indian Hill Road to collect overdue child-support payments. The property was sold in a sheriff’s sale to L. Michael and Elaine Belmont (Bolan’s ex-wife and her new husband). Because NPC’s judgment was filed under an incorrect spelling of Bolan’s name, NPC did not receive notice of the sheriff’s sale and was unable to protect its interest in the property.</w:t>
      </w:r>
    </w:p>
    <w:p w14:paraId="56365144" w14:textId="77777777" w:rsidR="003816CC" w:rsidRPr="003816CC" w:rsidRDefault="003816CC" w:rsidP="003816CC">
      <w:pPr>
        <w:spacing w:after="240"/>
        <w:jc w:val="both"/>
        <w:rPr>
          <w:rFonts w:ascii="Times New Roman" w:hAnsi="Times New Roman" w:cs="Times New Roman"/>
          <w:sz w:val="24"/>
          <w:szCs w:val="24"/>
        </w:rPr>
      </w:pPr>
      <w:r w:rsidRPr="003816CC">
        <w:rPr>
          <w:rFonts w:ascii="Times New Roman" w:hAnsi="Times New Roman" w:cs="Times New Roman"/>
          <w:sz w:val="24"/>
          <w:szCs w:val="24"/>
        </w:rPr>
        <w:t>The Belmonts subsequently sold the Indian Hill Road property to Richard E. and Vera DeCamp. It was only after this second conveyance that NPC brought its own foreclosure action, asserting the certified judgment from Franklin County against both the Indian Hill Road property and the Camargo Road property.</w:t>
      </w:r>
    </w:p>
    <w:p w14:paraId="7CD8870D" w14:textId="77777777" w:rsidR="003816CC" w:rsidRPr="003816CC" w:rsidRDefault="003816CC" w:rsidP="003816CC">
      <w:pPr>
        <w:spacing w:after="240"/>
        <w:jc w:val="both"/>
        <w:rPr>
          <w:rFonts w:ascii="Times New Roman" w:hAnsi="Times New Roman" w:cs="Times New Roman"/>
          <w:sz w:val="24"/>
          <w:szCs w:val="24"/>
        </w:rPr>
      </w:pPr>
      <w:r w:rsidRPr="003816CC">
        <w:rPr>
          <w:rFonts w:ascii="Times New Roman" w:hAnsi="Times New Roman" w:cs="Times New Roman"/>
          <w:sz w:val="24"/>
          <w:szCs w:val="24"/>
        </w:rPr>
        <w:t xml:space="preserve">The Belmonts moved to dismiss NPC’s complaint in a filing that the trial court treated as a motion for summary judgment. The DeCamps then moved for summary judgment against NPC and the Belmonts. NPC responded with its own motion for summary judgment against the Belmonts and the DeCamps. On April 30, 1987, the trial court overruled NPC’s motion for summary judgment, entered summary judgment for the DeCamps and the Belmonts against NPC and held that the DeCamps’ motion for summary judgment against the Belmonts was moot. The court dismissed all other claims existing among these three parties, adding a Civ. R. 54(B) certification in a </w:t>
      </w:r>
      <w:r w:rsidRPr="003816CC">
        <w:rPr>
          <w:rFonts w:ascii="Times New Roman" w:hAnsi="Times New Roman" w:cs="Times New Roman"/>
          <w:i/>
          <w:iCs/>
          <w:sz w:val="24"/>
          <w:szCs w:val="24"/>
        </w:rPr>
        <w:t xml:space="preserve">nunc pro </w:t>
      </w:r>
      <w:r w:rsidRPr="003816CC">
        <w:rPr>
          <w:rFonts w:ascii="Times New Roman" w:hAnsi="Times New Roman" w:cs="Times New Roman"/>
          <w:iCs/>
          <w:sz w:val="24"/>
          <w:szCs w:val="24"/>
        </w:rPr>
        <w:t>[</w:t>
      </w:r>
      <w:r w:rsidRPr="003816CC">
        <w:rPr>
          <w:rFonts w:ascii="Times New Roman" w:hAnsi="Times New Roman" w:cs="Times New Roman"/>
          <w:i/>
          <w:iCs/>
          <w:sz w:val="24"/>
          <w:szCs w:val="24"/>
        </w:rPr>
        <w:t>tunc</w:t>
      </w:r>
      <w:r w:rsidRPr="003816CC">
        <w:rPr>
          <w:rFonts w:ascii="Times New Roman" w:hAnsi="Times New Roman" w:cs="Times New Roman"/>
          <w:iCs/>
          <w:sz w:val="24"/>
          <w:szCs w:val="24"/>
        </w:rPr>
        <w:t>]</w:t>
      </w:r>
      <w:r w:rsidRPr="003816CC">
        <w:rPr>
          <w:rFonts w:ascii="Times New Roman" w:hAnsi="Times New Roman" w:cs="Times New Roman"/>
          <w:sz w:val="24"/>
          <w:szCs w:val="24"/>
        </w:rPr>
        <w:t xml:space="preserve"> entry dated July 6, 1987, and this appeal followed.</w:t>
      </w:r>
    </w:p>
    <w:p w14:paraId="19C1E666" w14:textId="77777777" w:rsidR="003816CC" w:rsidRPr="003816CC" w:rsidRDefault="003816CC" w:rsidP="003816CC">
      <w:pPr>
        <w:spacing w:after="240"/>
        <w:jc w:val="both"/>
        <w:rPr>
          <w:rFonts w:ascii="Times New Roman" w:hAnsi="Times New Roman" w:cs="Times New Roman"/>
          <w:iCs/>
          <w:sz w:val="24"/>
          <w:szCs w:val="24"/>
        </w:rPr>
      </w:pPr>
      <w:r w:rsidRPr="003816CC">
        <w:rPr>
          <w:rFonts w:ascii="Times New Roman" w:hAnsi="Times New Roman" w:cs="Times New Roman"/>
          <w:sz w:val="24"/>
          <w:szCs w:val="24"/>
        </w:rPr>
        <w:t xml:space="preserve">In its single assignment of error, NPC asserts that the trial court erred to its prejudice by overruling its motion for summary judgment. Relying upon the doctrine of </w:t>
      </w:r>
      <w:r w:rsidRPr="003816CC">
        <w:rPr>
          <w:rFonts w:ascii="Times New Roman" w:hAnsi="Times New Roman" w:cs="Times New Roman"/>
          <w:i/>
          <w:iCs/>
          <w:sz w:val="24"/>
          <w:szCs w:val="24"/>
        </w:rPr>
        <w:t>idem sonans</w:t>
      </w:r>
      <w:r w:rsidRPr="003816CC">
        <w:rPr>
          <w:rFonts w:ascii="Times New Roman" w:hAnsi="Times New Roman" w:cs="Times New Roman"/>
          <w:iCs/>
          <w:sz w:val="24"/>
          <w:szCs w:val="24"/>
        </w:rPr>
        <w:t>,</w:t>
      </w:r>
      <w:r w:rsidRPr="003816CC">
        <w:rPr>
          <w:rStyle w:val="FootnoteReference"/>
          <w:rFonts w:ascii="Times New Roman" w:hAnsi="Times New Roman" w:cs="Times New Roman"/>
          <w:iCs/>
          <w:sz w:val="24"/>
          <w:szCs w:val="24"/>
        </w:rPr>
        <w:footnoteReference w:customMarkFollows="1" w:id="1"/>
        <w:t>1</w:t>
      </w:r>
      <w:r w:rsidRPr="003816CC">
        <w:rPr>
          <w:rFonts w:ascii="Times New Roman" w:hAnsi="Times New Roman" w:cs="Times New Roman"/>
          <w:iCs/>
          <w:sz w:val="24"/>
          <w:szCs w:val="24"/>
        </w:rPr>
        <w:t xml:space="preserve"> </w:t>
      </w:r>
      <w:r w:rsidRPr="003816CC">
        <w:rPr>
          <w:rFonts w:ascii="Times New Roman" w:hAnsi="Times New Roman" w:cs="Times New Roman"/>
          <w:sz w:val="24"/>
          <w:szCs w:val="24"/>
        </w:rPr>
        <w:t>it argues that the certified judgment filed under a similar sounding but incorrect spelling of the debtor Bolan’s name, retaining the same initial letters as the correctly spelled name, should have been held to give rise to a valid lien for the benefit of NPC and to provide the appropriate constructive notice to title searchers.</w:t>
      </w:r>
    </w:p>
    <w:p w14:paraId="3EB0A774" w14:textId="77777777" w:rsidR="003816CC" w:rsidRPr="003816CC" w:rsidRDefault="003816CC" w:rsidP="003816CC">
      <w:pPr>
        <w:spacing w:after="240"/>
        <w:jc w:val="both"/>
        <w:rPr>
          <w:rFonts w:ascii="Times New Roman" w:hAnsi="Times New Roman" w:cs="Times New Roman"/>
          <w:sz w:val="24"/>
          <w:szCs w:val="24"/>
        </w:rPr>
      </w:pPr>
      <w:r w:rsidRPr="003816CC">
        <w:rPr>
          <w:rFonts w:ascii="Times New Roman" w:hAnsi="Times New Roman" w:cs="Times New Roman"/>
          <w:sz w:val="24"/>
          <w:szCs w:val="24"/>
        </w:rPr>
        <w:t xml:space="preserve">The doctrine of </w:t>
      </w:r>
      <w:r w:rsidRPr="003816CC">
        <w:rPr>
          <w:rFonts w:ascii="Times New Roman" w:hAnsi="Times New Roman" w:cs="Times New Roman"/>
          <w:i/>
          <w:iCs/>
          <w:sz w:val="24"/>
          <w:szCs w:val="24"/>
        </w:rPr>
        <w:t>idem sonans</w:t>
      </w:r>
      <w:r w:rsidRPr="003816CC">
        <w:rPr>
          <w:rFonts w:ascii="Times New Roman" w:hAnsi="Times New Roman" w:cs="Times New Roman"/>
          <w:sz w:val="24"/>
          <w:szCs w:val="24"/>
        </w:rPr>
        <w:t xml:space="preserve"> was adopted by the Ohio Supreme Court in </w:t>
      </w:r>
      <w:r w:rsidRPr="003816CC">
        <w:rPr>
          <w:rFonts w:ascii="Times New Roman" w:hAnsi="Times New Roman" w:cs="Times New Roman"/>
          <w:i/>
          <w:iCs/>
          <w:sz w:val="24"/>
          <w:szCs w:val="24"/>
        </w:rPr>
        <w:t>Lessee of Pillsbury</w:t>
      </w:r>
      <w:r w:rsidRPr="003816CC">
        <w:rPr>
          <w:rFonts w:ascii="Times New Roman" w:hAnsi="Times New Roman" w:cs="Times New Roman"/>
          <w:sz w:val="24"/>
          <w:szCs w:val="24"/>
        </w:rPr>
        <w:t xml:space="preserve"> v. </w:t>
      </w:r>
      <w:r w:rsidRPr="003816CC">
        <w:rPr>
          <w:rFonts w:ascii="Times New Roman" w:hAnsi="Times New Roman" w:cs="Times New Roman"/>
          <w:i/>
          <w:iCs/>
          <w:sz w:val="24"/>
          <w:szCs w:val="24"/>
        </w:rPr>
        <w:t>Dugan’s Administrator</w:t>
      </w:r>
      <w:r w:rsidRPr="003816CC">
        <w:rPr>
          <w:rFonts w:ascii="Times New Roman" w:hAnsi="Times New Roman" w:cs="Times New Roman"/>
          <w:sz w:val="24"/>
          <w:szCs w:val="24"/>
        </w:rPr>
        <w:t xml:space="preserve"> (1839), 9 Ohio 117. There the court held that Mrs. Pillsbury was on sufficient notice that her one-eighth interest in certain real estate was being adjudicated, even though the petition for partition listed her as “Pillsby.” Its reasoning was expressed in these terms:</w:t>
      </w:r>
    </w:p>
    <w:p w14:paraId="1A14E329" w14:textId="77777777" w:rsidR="003816CC" w:rsidRPr="003816CC" w:rsidRDefault="003816CC" w:rsidP="003816CC">
      <w:pPr>
        <w:pStyle w:val="QuestionsBlockIndent"/>
        <w:spacing w:after="240"/>
        <w:jc w:val="both"/>
        <w:rPr>
          <w:rFonts w:ascii="Times New Roman" w:hAnsi="Times New Roman" w:cs="Times New Roman"/>
          <w:sz w:val="24"/>
        </w:rPr>
      </w:pPr>
      <w:r w:rsidRPr="003816CC">
        <w:rPr>
          <w:rFonts w:ascii="Times New Roman" w:hAnsi="Times New Roman" w:cs="Times New Roman"/>
          <w:sz w:val="24"/>
        </w:rPr>
        <w:t>“In adjudicating upon transactions occurring in the early settlement of our state, we must never forget the absence of precedents and system, the different usages introduced by people emigrating from every part of the country, the want of knowledge or neglect of technical learning, and the risk of loss of evidence from the lapse of time. Hence errors of form have always been overlooked, where the acts of a court are manifest, and its jurisdiction established. …</w:t>
      </w:r>
    </w:p>
    <w:p w14:paraId="2E5B6374" w14:textId="77777777" w:rsidR="003816CC" w:rsidRPr="003816CC" w:rsidRDefault="003816CC" w:rsidP="003816CC">
      <w:pPr>
        <w:pStyle w:val="QuestionsBlockIndent"/>
        <w:spacing w:after="240"/>
        <w:jc w:val="both"/>
        <w:rPr>
          <w:rFonts w:ascii="Times New Roman" w:hAnsi="Times New Roman" w:cs="Times New Roman"/>
          <w:sz w:val="24"/>
        </w:rPr>
      </w:pPr>
      <w:r w:rsidRPr="003816CC">
        <w:rPr>
          <w:rFonts w:ascii="Times New Roman" w:hAnsi="Times New Roman" w:cs="Times New Roman"/>
          <w:sz w:val="24"/>
        </w:rPr>
        <w:t xml:space="preserve"> “It is not every mistake in names which will invalidate an instrument or proceeding. </w:t>
      </w:r>
      <w:r w:rsidRPr="003816CC">
        <w:rPr>
          <w:rFonts w:ascii="Times New Roman" w:hAnsi="Times New Roman" w:cs="Times New Roman"/>
          <w:i/>
          <w:iCs/>
          <w:sz w:val="24"/>
        </w:rPr>
        <w:t>This effect will follow where the person can not be identified,</w:t>
      </w:r>
      <w:r w:rsidRPr="003816CC">
        <w:rPr>
          <w:rFonts w:ascii="Times New Roman" w:hAnsi="Times New Roman" w:cs="Times New Roman"/>
          <w:sz w:val="24"/>
        </w:rPr>
        <w:t xml:space="preserve"> or where the error is such as to describe another. But words are intended to be spoken; and where the sound is substantially preserved, bad spelling will not vitiate. * * *” (Emphasis added.) </w:t>
      </w:r>
      <w:r w:rsidRPr="003816CC">
        <w:rPr>
          <w:rFonts w:ascii="Times New Roman" w:hAnsi="Times New Roman" w:cs="Times New Roman"/>
          <w:i/>
          <w:iCs/>
          <w:sz w:val="24"/>
        </w:rPr>
        <w:t>Id.</w:t>
      </w:r>
      <w:r w:rsidRPr="003816CC">
        <w:rPr>
          <w:rFonts w:ascii="Times New Roman" w:hAnsi="Times New Roman" w:cs="Times New Roman"/>
          <w:sz w:val="24"/>
        </w:rPr>
        <w:t xml:space="preserve"> at 119-120.</w:t>
      </w:r>
    </w:p>
    <w:p w14:paraId="03031E87" w14:textId="77777777" w:rsidR="003816CC" w:rsidRPr="003816CC" w:rsidRDefault="003816CC" w:rsidP="003816CC">
      <w:pPr>
        <w:spacing w:after="240"/>
        <w:jc w:val="both"/>
        <w:rPr>
          <w:rFonts w:ascii="Times New Roman" w:hAnsi="Times New Roman" w:cs="Times New Roman"/>
          <w:sz w:val="24"/>
          <w:szCs w:val="24"/>
        </w:rPr>
      </w:pPr>
      <w:r w:rsidRPr="003816CC">
        <w:rPr>
          <w:rFonts w:ascii="Times New Roman" w:hAnsi="Times New Roman" w:cs="Times New Roman"/>
          <w:sz w:val="24"/>
          <w:szCs w:val="24"/>
        </w:rPr>
        <w:t xml:space="preserve">The petition in </w:t>
      </w:r>
      <w:r w:rsidRPr="003816CC">
        <w:rPr>
          <w:rFonts w:ascii="Times New Roman" w:hAnsi="Times New Roman" w:cs="Times New Roman"/>
          <w:i/>
          <w:iCs/>
          <w:sz w:val="24"/>
          <w:szCs w:val="24"/>
        </w:rPr>
        <w:t>Pillsbury</w:t>
      </w:r>
      <w:r w:rsidRPr="003816CC">
        <w:rPr>
          <w:rFonts w:ascii="Times New Roman" w:hAnsi="Times New Roman" w:cs="Times New Roman"/>
          <w:sz w:val="24"/>
          <w:szCs w:val="24"/>
        </w:rPr>
        <w:t xml:space="preserve"> otherwise identified Mrs. Pillsbury by reference to her father, who died seized of the subject real estate, and to her apparent siblings and in-laws. Further, the petition correctly identified the real estate. Thus, she could be identified in spite of her misspelled name. …</w:t>
      </w:r>
    </w:p>
    <w:p w14:paraId="29B6DC2A" w14:textId="77777777" w:rsidR="003816CC" w:rsidRPr="003816CC" w:rsidRDefault="003816CC" w:rsidP="003816CC">
      <w:pPr>
        <w:spacing w:after="240"/>
        <w:jc w:val="both"/>
        <w:rPr>
          <w:rFonts w:ascii="Times New Roman" w:hAnsi="Times New Roman" w:cs="Times New Roman"/>
          <w:sz w:val="24"/>
          <w:szCs w:val="24"/>
        </w:rPr>
      </w:pPr>
      <w:r w:rsidRPr="003816CC">
        <w:rPr>
          <w:rFonts w:ascii="Times New Roman" w:hAnsi="Times New Roman" w:cs="Times New Roman"/>
          <w:sz w:val="24"/>
          <w:szCs w:val="24"/>
        </w:rPr>
        <w:t xml:space="preserve">The Ohio Supreme Court next mentioned the doctrine of </w:t>
      </w:r>
      <w:r w:rsidRPr="003816CC">
        <w:rPr>
          <w:rFonts w:ascii="Times New Roman" w:hAnsi="Times New Roman" w:cs="Times New Roman"/>
          <w:i/>
          <w:iCs/>
          <w:sz w:val="24"/>
          <w:szCs w:val="24"/>
        </w:rPr>
        <w:t>idem sonans</w:t>
      </w:r>
      <w:r w:rsidRPr="003816CC">
        <w:rPr>
          <w:rFonts w:ascii="Times New Roman" w:hAnsi="Times New Roman" w:cs="Times New Roman"/>
          <w:sz w:val="24"/>
          <w:szCs w:val="24"/>
        </w:rPr>
        <w:t xml:space="preserve"> in </w:t>
      </w:r>
      <w:r w:rsidRPr="003816CC">
        <w:rPr>
          <w:rFonts w:ascii="Times New Roman" w:hAnsi="Times New Roman" w:cs="Times New Roman"/>
          <w:i/>
          <w:iCs/>
          <w:sz w:val="24"/>
          <w:szCs w:val="24"/>
        </w:rPr>
        <w:t>Buchanan</w:t>
      </w:r>
      <w:r w:rsidRPr="003816CC">
        <w:rPr>
          <w:rFonts w:ascii="Times New Roman" w:hAnsi="Times New Roman" w:cs="Times New Roman"/>
          <w:sz w:val="24"/>
          <w:szCs w:val="24"/>
        </w:rPr>
        <w:t xml:space="preserve"> v. </w:t>
      </w:r>
      <w:r w:rsidRPr="003816CC">
        <w:rPr>
          <w:rFonts w:ascii="Times New Roman" w:hAnsi="Times New Roman" w:cs="Times New Roman"/>
          <w:i/>
          <w:iCs/>
          <w:sz w:val="24"/>
          <w:szCs w:val="24"/>
        </w:rPr>
        <w:t>Roy’s Lessee</w:t>
      </w:r>
      <w:r w:rsidRPr="003816CC">
        <w:rPr>
          <w:rFonts w:ascii="Times New Roman" w:hAnsi="Times New Roman" w:cs="Times New Roman"/>
          <w:sz w:val="24"/>
          <w:szCs w:val="24"/>
        </w:rPr>
        <w:t xml:space="preserve"> (1853), 2 Ohio St. 251, a quiet-title action initiated by Nicholas Longworth. The court, in dicta, mused that the misspelling of Sarah Roy’s name as Sarah Ray, in a notice by publication, standing alone might be fatal to the action. Without squarely deciding the question, however, the court went on to note that Sarah Roy could otherwise be identified in the published notice. Thus the “otherwise identified” standard was carried forward from </w:t>
      </w:r>
      <w:r w:rsidRPr="003816CC">
        <w:rPr>
          <w:rFonts w:ascii="Times New Roman" w:hAnsi="Times New Roman" w:cs="Times New Roman"/>
          <w:i/>
          <w:iCs/>
          <w:sz w:val="24"/>
          <w:szCs w:val="24"/>
        </w:rPr>
        <w:t>Pillsbury</w:t>
      </w:r>
      <w:r w:rsidRPr="003816CC">
        <w:rPr>
          <w:rFonts w:ascii="Times New Roman" w:hAnsi="Times New Roman" w:cs="Times New Roman"/>
          <w:sz w:val="24"/>
          <w:szCs w:val="24"/>
        </w:rPr>
        <w:t xml:space="preserve"> to </w:t>
      </w:r>
      <w:r w:rsidRPr="003816CC">
        <w:rPr>
          <w:rFonts w:ascii="Times New Roman" w:hAnsi="Times New Roman" w:cs="Times New Roman"/>
          <w:i/>
          <w:iCs/>
          <w:sz w:val="24"/>
          <w:szCs w:val="24"/>
        </w:rPr>
        <w:t>Buchanan.</w:t>
      </w:r>
    </w:p>
    <w:p w14:paraId="6728F6CC" w14:textId="77777777" w:rsidR="003816CC" w:rsidRPr="003816CC" w:rsidRDefault="003816CC" w:rsidP="003816CC">
      <w:pPr>
        <w:spacing w:after="240"/>
        <w:jc w:val="both"/>
        <w:rPr>
          <w:rFonts w:ascii="Times New Roman" w:hAnsi="Times New Roman" w:cs="Times New Roman"/>
          <w:sz w:val="24"/>
          <w:szCs w:val="24"/>
        </w:rPr>
      </w:pPr>
      <w:r w:rsidRPr="003816CC">
        <w:rPr>
          <w:rFonts w:ascii="Times New Roman" w:hAnsi="Times New Roman" w:cs="Times New Roman"/>
          <w:sz w:val="24"/>
          <w:szCs w:val="24"/>
        </w:rPr>
        <w:t xml:space="preserve">In 1869, the Ohio Supreme Court again dealt with </w:t>
      </w:r>
      <w:r w:rsidRPr="003816CC">
        <w:rPr>
          <w:rFonts w:ascii="Times New Roman" w:hAnsi="Times New Roman" w:cs="Times New Roman"/>
          <w:i/>
          <w:iCs/>
          <w:sz w:val="24"/>
          <w:szCs w:val="24"/>
        </w:rPr>
        <w:t>idem sonans,</w:t>
      </w:r>
      <w:r w:rsidRPr="003816CC">
        <w:rPr>
          <w:rFonts w:ascii="Times New Roman" w:hAnsi="Times New Roman" w:cs="Times New Roman"/>
          <w:sz w:val="24"/>
          <w:szCs w:val="24"/>
        </w:rPr>
        <w:t xml:space="preserve"> this time in a criminal matter. In </w:t>
      </w:r>
      <w:r w:rsidRPr="003816CC">
        <w:rPr>
          <w:rFonts w:ascii="Times New Roman" w:hAnsi="Times New Roman" w:cs="Times New Roman"/>
          <w:i/>
          <w:iCs/>
          <w:sz w:val="24"/>
          <w:szCs w:val="24"/>
        </w:rPr>
        <w:t>Turpin</w:t>
      </w:r>
      <w:r w:rsidRPr="003816CC">
        <w:rPr>
          <w:rFonts w:ascii="Times New Roman" w:hAnsi="Times New Roman" w:cs="Times New Roman"/>
          <w:sz w:val="24"/>
          <w:szCs w:val="24"/>
        </w:rPr>
        <w:t xml:space="preserve"> v. </w:t>
      </w:r>
      <w:r w:rsidRPr="003816CC">
        <w:rPr>
          <w:rFonts w:ascii="Times New Roman" w:hAnsi="Times New Roman" w:cs="Times New Roman"/>
          <w:i/>
          <w:iCs/>
          <w:sz w:val="24"/>
          <w:szCs w:val="24"/>
        </w:rPr>
        <w:t>State</w:t>
      </w:r>
      <w:r w:rsidRPr="003816CC">
        <w:rPr>
          <w:rFonts w:ascii="Times New Roman" w:hAnsi="Times New Roman" w:cs="Times New Roman"/>
          <w:sz w:val="24"/>
          <w:szCs w:val="24"/>
        </w:rPr>
        <w:t xml:space="preserve"> (1869), 19 Ohio St. 540, a case involving an allegedly forged signature, there was a variance between the spelling of the name as it appeared on the state’s exhibit (“R-e-n-n-i-c-k” or “R-u-n-i-c-k”), and the spelling of the name as it appeared in an indictment (“R-e-n-i-c-k”). The court, however, found no fatal flaw in the variance … .</w:t>
      </w:r>
    </w:p>
    <w:p w14:paraId="2990E227" w14:textId="77777777" w:rsidR="003816CC" w:rsidRPr="003816CC" w:rsidRDefault="003816CC" w:rsidP="003816CC">
      <w:pPr>
        <w:spacing w:after="240"/>
        <w:jc w:val="both"/>
        <w:rPr>
          <w:rFonts w:ascii="Times New Roman" w:hAnsi="Times New Roman" w:cs="Times New Roman"/>
          <w:sz w:val="24"/>
          <w:szCs w:val="24"/>
        </w:rPr>
      </w:pPr>
      <w:r w:rsidRPr="003816CC">
        <w:rPr>
          <w:rFonts w:ascii="Times New Roman" w:hAnsi="Times New Roman" w:cs="Times New Roman"/>
          <w:sz w:val="24"/>
          <w:szCs w:val="24"/>
        </w:rPr>
        <w:t xml:space="preserve">NPC cites </w:t>
      </w:r>
      <w:r w:rsidRPr="003816CC">
        <w:rPr>
          <w:rFonts w:ascii="Times New Roman" w:hAnsi="Times New Roman" w:cs="Times New Roman"/>
          <w:i/>
          <w:iCs/>
          <w:sz w:val="24"/>
          <w:szCs w:val="24"/>
        </w:rPr>
        <w:t>Rauch</w:t>
      </w:r>
      <w:r w:rsidRPr="003816CC">
        <w:rPr>
          <w:rFonts w:ascii="Times New Roman" w:hAnsi="Times New Roman" w:cs="Times New Roman"/>
          <w:sz w:val="24"/>
          <w:szCs w:val="24"/>
        </w:rPr>
        <w:t xml:space="preserve"> v. </w:t>
      </w:r>
      <w:r w:rsidRPr="003816CC">
        <w:rPr>
          <w:rFonts w:ascii="Times New Roman" w:hAnsi="Times New Roman" w:cs="Times New Roman"/>
          <w:i/>
          <w:iCs/>
          <w:sz w:val="24"/>
          <w:szCs w:val="24"/>
        </w:rPr>
        <w:t>Immel</w:t>
      </w:r>
      <w:r w:rsidRPr="003816CC">
        <w:rPr>
          <w:rFonts w:ascii="Times New Roman" w:hAnsi="Times New Roman" w:cs="Times New Roman"/>
          <w:sz w:val="24"/>
          <w:szCs w:val="24"/>
        </w:rPr>
        <w:t xml:space="preserve"> (1936), 55 Ohio App. 71, 23 Ohio Law Abs. 629, 8 O.O. 354, 8 N.E.2d 569, and </w:t>
      </w:r>
      <w:r w:rsidRPr="003816CC">
        <w:rPr>
          <w:rFonts w:ascii="Times New Roman" w:hAnsi="Times New Roman" w:cs="Times New Roman"/>
          <w:i/>
          <w:iCs/>
          <w:sz w:val="24"/>
          <w:szCs w:val="24"/>
        </w:rPr>
        <w:t>Horton</w:t>
      </w:r>
      <w:r w:rsidRPr="003816CC">
        <w:rPr>
          <w:rFonts w:ascii="Times New Roman" w:hAnsi="Times New Roman" w:cs="Times New Roman"/>
          <w:sz w:val="24"/>
          <w:szCs w:val="24"/>
        </w:rPr>
        <w:t xml:space="preserve"> v. </w:t>
      </w:r>
      <w:r w:rsidRPr="003816CC">
        <w:rPr>
          <w:rFonts w:ascii="Times New Roman" w:hAnsi="Times New Roman" w:cs="Times New Roman"/>
          <w:i/>
          <w:iCs/>
          <w:sz w:val="24"/>
          <w:szCs w:val="24"/>
        </w:rPr>
        <w:t>Matheny</w:t>
      </w:r>
      <w:r w:rsidRPr="003816CC">
        <w:rPr>
          <w:rFonts w:ascii="Times New Roman" w:hAnsi="Times New Roman" w:cs="Times New Roman"/>
          <w:sz w:val="24"/>
          <w:szCs w:val="24"/>
        </w:rPr>
        <w:t xml:space="preserve"> (1943), 72 Ohio App. 187, 27 O.O. 69, 51 N.E.2d 41, as the basis for validation of its claimed error. We note, however, that in </w:t>
      </w:r>
      <w:r w:rsidRPr="003816CC">
        <w:rPr>
          <w:rFonts w:ascii="Times New Roman" w:hAnsi="Times New Roman" w:cs="Times New Roman"/>
          <w:i/>
          <w:iCs/>
          <w:sz w:val="24"/>
          <w:szCs w:val="24"/>
        </w:rPr>
        <w:t>Rauch</w:t>
      </w:r>
      <w:r w:rsidRPr="003816CC">
        <w:rPr>
          <w:rFonts w:ascii="Times New Roman" w:hAnsi="Times New Roman" w:cs="Times New Roman"/>
          <w:sz w:val="24"/>
          <w:szCs w:val="24"/>
        </w:rPr>
        <w:t xml:space="preserve"> the doctrine was applied to a misnomer in a notice of a lawsuit, and in </w:t>
      </w:r>
      <w:r w:rsidRPr="003816CC">
        <w:rPr>
          <w:rFonts w:ascii="Times New Roman" w:hAnsi="Times New Roman" w:cs="Times New Roman"/>
          <w:i/>
          <w:iCs/>
          <w:sz w:val="24"/>
          <w:szCs w:val="24"/>
        </w:rPr>
        <w:t>Horton</w:t>
      </w:r>
      <w:r w:rsidRPr="003816CC">
        <w:rPr>
          <w:rFonts w:ascii="Times New Roman" w:hAnsi="Times New Roman" w:cs="Times New Roman"/>
          <w:sz w:val="24"/>
          <w:szCs w:val="24"/>
        </w:rPr>
        <w:t xml:space="preserve"> it was applied to a misspelling in a deed description. In these two cases, as in </w:t>
      </w:r>
      <w:r w:rsidRPr="003816CC">
        <w:rPr>
          <w:rFonts w:ascii="Times New Roman" w:hAnsi="Times New Roman" w:cs="Times New Roman"/>
          <w:i/>
          <w:iCs/>
          <w:sz w:val="24"/>
          <w:szCs w:val="24"/>
        </w:rPr>
        <w:t>Pillsbury, Buchanan,</w:t>
      </w:r>
      <w:r w:rsidRPr="003816CC">
        <w:rPr>
          <w:rFonts w:ascii="Times New Roman" w:hAnsi="Times New Roman" w:cs="Times New Roman"/>
          <w:sz w:val="24"/>
          <w:szCs w:val="24"/>
        </w:rPr>
        <w:t xml:space="preserve"> and </w:t>
      </w:r>
      <w:r w:rsidRPr="003816CC">
        <w:rPr>
          <w:rFonts w:ascii="Times New Roman" w:hAnsi="Times New Roman" w:cs="Times New Roman"/>
          <w:i/>
          <w:iCs/>
          <w:sz w:val="24"/>
          <w:szCs w:val="24"/>
        </w:rPr>
        <w:t>Turpin,</w:t>
      </w:r>
      <w:r w:rsidRPr="003816CC">
        <w:rPr>
          <w:rFonts w:ascii="Times New Roman" w:hAnsi="Times New Roman" w:cs="Times New Roman"/>
          <w:sz w:val="24"/>
          <w:szCs w:val="24"/>
        </w:rPr>
        <w:t xml:space="preserve"> the error did not involve misspellings in a name index.</w:t>
      </w:r>
    </w:p>
    <w:p w14:paraId="3640B72E" w14:textId="77777777" w:rsidR="003816CC" w:rsidRPr="003816CC" w:rsidRDefault="003816CC" w:rsidP="003816CC">
      <w:pPr>
        <w:spacing w:after="240"/>
        <w:jc w:val="both"/>
        <w:rPr>
          <w:rFonts w:ascii="Times New Roman" w:hAnsi="Times New Roman" w:cs="Times New Roman"/>
          <w:sz w:val="24"/>
          <w:szCs w:val="24"/>
        </w:rPr>
      </w:pPr>
      <w:r w:rsidRPr="003816CC">
        <w:rPr>
          <w:rFonts w:ascii="Times New Roman" w:hAnsi="Times New Roman" w:cs="Times New Roman"/>
          <w:sz w:val="24"/>
          <w:szCs w:val="24"/>
        </w:rPr>
        <w:t xml:space="preserve">The case of </w:t>
      </w:r>
      <w:r w:rsidRPr="003816CC">
        <w:rPr>
          <w:rFonts w:ascii="Times New Roman" w:hAnsi="Times New Roman" w:cs="Times New Roman"/>
          <w:i/>
          <w:iCs/>
          <w:sz w:val="24"/>
          <w:szCs w:val="24"/>
        </w:rPr>
        <w:t>Gleich</w:t>
      </w:r>
      <w:r w:rsidRPr="003816CC">
        <w:rPr>
          <w:rFonts w:ascii="Times New Roman" w:hAnsi="Times New Roman" w:cs="Times New Roman"/>
          <w:sz w:val="24"/>
          <w:szCs w:val="24"/>
        </w:rPr>
        <w:t xml:space="preserve"> v. </w:t>
      </w:r>
      <w:r w:rsidRPr="003816CC">
        <w:rPr>
          <w:rFonts w:ascii="Times New Roman" w:hAnsi="Times New Roman" w:cs="Times New Roman"/>
          <w:i/>
          <w:iCs/>
          <w:sz w:val="24"/>
          <w:szCs w:val="24"/>
        </w:rPr>
        <w:t>Earnest</w:t>
      </w:r>
      <w:r w:rsidRPr="003816CC">
        <w:rPr>
          <w:rFonts w:ascii="Times New Roman" w:hAnsi="Times New Roman" w:cs="Times New Roman"/>
          <w:sz w:val="24"/>
          <w:szCs w:val="24"/>
        </w:rPr>
        <w:t xml:space="preserve"> (1930), 36 Ohio App. 326, 173 N.E. 212, is NPC’s best authority because it is factually analogous to the instant matter. In </w:t>
      </w:r>
      <w:r w:rsidRPr="003816CC">
        <w:rPr>
          <w:rFonts w:ascii="Times New Roman" w:hAnsi="Times New Roman" w:cs="Times New Roman"/>
          <w:i/>
          <w:iCs/>
          <w:sz w:val="24"/>
          <w:szCs w:val="24"/>
        </w:rPr>
        <w:t>Gleich,</w:t>
      </w:r>
      <w:r w:rsidRPr="003816CC">
        <w:rPr>
          <w:rFonts w:ascii="Times New Roman" w:hAnsi="Times New Roman" w:cs="Times New Roman"/>
          <w:sz w:val="24"/>
          <w:szCs w:val="24"/>
        </w:rPr>
        <w:t xml:space="preserve"> the court held that </w:t>
      </w:r>
      <w:r w:rsidRPr="003816CC">
        <w:rPr>
          <w:rFonts w:ascii="Times New Roman" w:hAnsi="Times New Roman" w:cs="Times New Roman"/>
          <w:i/>
          <w:iCs/>
          <w:sz w:val="24"/>
          <w:szCs w:val="24"/>
        </w:rPr>
        <w:t>idem sonans</w:t>
      </w:r>
      <w:r w:rsidRPr="003816CC">
        <w:rPr>
          <w:rFonts w:ascii="Times New Roman" w:hAnsi="Times New Roman" w:cs="Times New Roman"/>
          <w:sz w:val="24"/>
          <w:szCs w:val="24"/>
        </w:rPr>
        <w:t xml:space="preserve"> validated the assertion of a mechanic’s lien against the purchaser of the property at a foreclosure sale, even though the foreclosure suit did not name the lienholder. The lienholder had filed its lien against “C. C. Ernest,” when in fact the property was held in the name of “Chester C. Earnest.” The court’s decision upholding the lienholder’s position rested upon the testimony of two abstractors who testified that they would have searched the records under both “Ernest” and “Earnest.”</w:t>
      </w:r>
    </w:p>
    <w:p w14:paraId="6BC01E59" w14:textId="77777777" w:rsidR="003816CC" w:rsidRPr="003816CC" w:rsidRDefault="003816CC" w:rsidP="003816CC">
      <w:pPr>
        <w:spacing w:after="240"/>
        <w:jc w:val="both"/>
        <w:rPr>
          <w:rFonts w:ascii="Times New Roman" w:hAnsi="Times New Roman" w:cs="Times New Roman"/>
          <w:sz w:val="24"/>
          <w:szCs w:val="24"/>
        </w:rPr>
      </w:pPr>
      <w:r w:rsidRPr="003816CC">
        <w:rPr>
          <w:rFonts w:ascii="Times New Roman" w:hAnsi="Times New Roman" w:cs="Times New Roman"/>
          <w:sz w:val="24"/>
          <w:szCs w:val="24"/>
        </w:rPr>
        <w:t xml:space="preserve">In the matter </w:t>
      </w:r>
      <w:r w:rsidRPr="003816CC">
        <w:rPr>
          <w:rFonts w:ascii="Times New Roman" w:hAnsi="Times New Roman" w:cs="Times New Roman"/>
          <w:i/>
          <w:iCs/>
          <w:sz w:val="24"/>
          <w:szCs w:val="24"/>
        </w:rPr>
        <w:t>sub judice,</w:t>
      </w:r>
      <w:r w:rsidRPr="003816CC">
        <w:rPr>
          <w:rFonts w:ascii="Times New Roman" w:hAnsi="Times New Roman" w:cs="Times New Roman"/>
          <w:sz w:val="24"/>
          <w:szCs w:val="24"/>
        </w:rPr>
        <w:t xml:space="preserve"> three experts have given affidavits stating that the doctrine of </w:t>
      </w:r>
      <w:r w:rsidRPr="003816CC">
        <w:rPr>
          <w:rFonts w:ascii="Times New Roman" w:hAnsi="Times New Roman" w:cs="Times New Roman"/>
          <w:i/>
          <w:iCs/>
          <w:sz w:val="24"/>
          <w:szCs w:val="24"/>
        </w:rPr>
        <w:t>idem sonans</w:t>
      </w:r>
      <w:r w:rsidRPr="003816CC">
        <w:rPr>
          <w:rFonts w:ascii="Times New Roman" w:hAnsi="Times New Roman" w:cs="Times New Roman"/>
          <w:sz w:val="24"/>
          <w:szCs w:val="24"/>
        </w:rPr>
        <w:t xml:space="preserve"> should not be applied today as a standard for determining the marketable title of real estate on the basis of irregularities in last names or surnames, and that by custom it is not applied by abstractors in southwestern Ohio.</w:t>
      </w:r>
    </w:p>
    <w:p w14:paraId="445936D7" w14:textId="77777777" w:rsidR="003816CC" w:rsidRPr="003816CC" w:rsidRDefault="003816CC" w:rsidP="003816CC">
      <w:pPr>
        <w:spacing w:after="240"/>
        <w:jc w:val="both"/>
        <w:rPr>
          <w:rFonts w:ascii="Times New Roman" w:hAnsi="Times New Roman" w:cs="Times New Roman"/>
          <w:sz w:val="24"/>
          <w:szCs w:val="24"/>
        </w:rPr>
      </w:pPr>
      <w:r w:rsidRPr="003816CC">
        <w:rPr>
          <w:rFonts w:ascii="Times New Roman" w:hAnsi="Times New Roman" w:cs="Times New Roman"/>
          <w:sz w:val="24"/>
          <w:szCs w:val="24"/>
        </w:rPr>
        <w:t xml:space="preserve">We hold that the doctrine of </w:t>
      </w:r>
      <w:r w:rsidRPr="003816CC">
        <w:rPr>
          <w:rFonts w:ascii="Times New Roman" w:hAnsi="Times New Roman" w:cs="Times New Roman"/>
          <w:i/>
          <w:iCs/>
          <w:sz w:val="24"/>
          <w:szCs w:val="24"/>
        </w:rPr>
        <w:t>idem sonans</w:t>
      </w:r>
      <w:r w:rsidRPr="003816CC">
        <w:rPr>
          <w:rFonts w:ascii="Times New Roman" w:hAnsi="Times New Roman" w:cs="Times New Roman"/>
          <w:sz w:val="24"/>
          <w:szCs w:val="24"/>
        </w:rPr>
        <w:t xml:space="preserve"> is inapplicable to names that are misspelled in judgment-lien name indexes. We are not a frontier society of pioneers with little education or an absence of precedent and system. Since the Supreme Court issued its opinion in </w:t>
      </w:r>
      <w:r w:rsidRPr="003816CC">
        <w:rPr>
          <w:rFonts w:ascii="Times New Roman" w:hAnsi="Times New Roman" w:cs="Times New Roman"/>
          <w:i/>
          <w:iCs/>
          <w:sz w:val="24"/>
          <w:szCs w:val="24"/>
        </w:rPr>
        <w:t>Pillsbury</w:t>
      </w:r>
      <w:r w:rsidRPr="003816CC">
        <w:rPr>
          <w:rFonts w:ascii="Times New Roman" w:hAnsi="Times New Roman" w:cs="Times New Roman"/>
          <w:sz w:val="24"/>
          <w:szCs w:val="24"/>
        </w:rPr>
        <w:t xml:space="preserve"> in 1839, we have experienced a tremendous growth in the population and the economy, and those developments have spawned countless real estate sales and a volume of litigation resulting in an abundance of indexed judgment liens. In modern society we cannot overlook matters of form by continuing to indulge the outmoded premises of our societal infancy. To impose rigidly the doctrine of </w:t>
      </w:r>
      <w:r w:rsidRPr="003816CC">
        <w:rPr>
          <w:rFonts w:ascii="Times New Roman" w:hAnsi="Times New Roman" w:cs="Times New Roman"/>
          <w:i/>
          <w:iCs/>
          <w:sz w:val="24"/>
          <w:szCs w:val="24"/>
        </w:rPr>
        <w:t>idem sonans</w:t>
      </w:r>
      <w:r w:rsidRPr="003816CC">
        <w:rPr>
          <w:rFonts w:ascii="Times New Roman" w:hAnsi="Times New Roman" w:cs="Times New Roman"/>
          <w:sz w:val="24"/>
          <w:szCs w:val="24"/>
        </w:rPr>
        <w:t xml:space="preserve"> to name indexes now maintained for judgment liens would tax all land abstractors beyond reasonable limits and require them to be poets, phonetic linguists, or multilingual specialists. The additional time necessary to examine name indexes under such a stringent doctrine would make the examinations financially prohibitive.</w:t>
      </w:r>
    </w:p>
    <w:p w14:paraId="2D99AF59" w14:textId="77777777" w:rsidR="003816CC" w:rsidRPr="003816CC" w:rsidRDefault="003816CC" w:rsidP="003816CC">
      <w:pPr>
        <w:spacing w:after="240"/>
        <w:jc w:val="both"/>
        <w:rPr>
          <w:rFonts w:ascii="Times New Roman" w:hAnsi="Times New Roman" w:cs="Times New Roman"/>
          <w:sz w:val="24"/>
          <w:szCs w:val="24"/>
        </w:rPr>
      </w:pPr>
      <w:r w:rsidRPr="003816CC">
        <w:rPr>
          <w:rFonts w:ascii="Times New Roman" w:hAnsi="Times New Roman" w:cs="Times New Roman"/>
          <w:sz w:val="24"/>
          <w:szCs w:val="24"/>
        </w:rPr>
        <w:t xml:space="preserve">The appellees, in their brief, demonstrate the difficulty in applying the doctrine of </w:t>
      </w:r>
      <w:r w:rsidRPr="003816CC">
        <w:rPr>
          <w:rFonts w:ascii="Times New Roman" w:hAnsi="Times New Roman" w:cs="Times New Roman"/>
          <w:i/>
          <w:iCs/>
          <w:sz w:val="24"/>
          <w:szCs w:val="24"/>
        </w:rPr>
        <w:t>idem sonans</w:t>
      </w:r>
      <w:r w:rsidRPr="003816CC">
        <w:rPr>
          <w:rFonts w:ascii="Times New Roman" w:hAnsi="Times New Roman" w:cs="Times New Roman"/>
          <w:sz w:val="24"/>
          <w:szCs w:val="24"/>
        </w:rPr>
        <w:t xml:space="preserve"> to the range of spellings implicated in the instant case: Bolan, Bolen, Bolin, Bowlin, Bowlan, Bowlen, Bolun; the addition of double “l,” “ein,” and “ien” spellings does not even exhaust all conceivable spelling possibilities. The impossibility of the task created by the doctrine of </w:t>
      </w:r>
      <w:r w:rsidRPr="003816CC">
        <w:rPr>
          <w:rFonts w:ascii="Times New Roman" w:hAnsi="Times New Roman" w:cs="Times New Roman"/>
          <w:i/>
          <w:iCs/>
          <w:sz w:val="24"/>
          <w:szCs w:val="24"/>
        </w:rPr>
        <w:t>idem sonans</w:t>
      </w:r>
      <w:r w:rsidRPr="003816CC">
        <w:rPr>
          <w:rFonts w:ascii="Times New Roman" w:hAnsi="Times New Roman" w:cs="Times New Roman"/>
          <w:sz w:val="24"/>
          <w:szCs w:val="24"/>
        </w:rPr>
        <w:t xml:space="preserve"> is further illustrated by the fact that we, as a society and state, are no longer a small homogeneous population primarily of European abstraction. Since our infancy, we have added Asian, African, South American, Oriental and Arabic surnames. The spelling, sound, and pronunciation of our population’s surnames create an insurmountable burden for an abstractor to face in appreciating all the possible variations. Under all the circumstances, a strict application of the doctrine today would leave a real estate purchaser with a lingering fear that misspelled lienholders, either negligently or deliberately, might be lurking under the </w:t>
      </w:r>
      <w:r w:rsidRPr="003816CC">
        <w:rPr>
          <w:rFonts w:ascii="Times New Roman" w:hAnsi="Times New Roman" w:cs="Times New Roman"/>
          <w:i/>
          <w:iCs/>
          <w:sz w:val="24"/>
          <w:szCs w:val="24"/>
        </w:rPr>
        <w:t>idem sonans</w:t>
      </w:r>
      <w:r w:rsidRPr="003816CC">
        <w:rPr>
          <w:rFonts w:ascii="Times New Roman" w:hAnsi="Times New Roman" w:cs="Times New Roman"/>
          <w:sz w:val="24"/>
          <w:szCs w:val="24"/>
        </w:rPr>
        <w:t xml:space="preserve"> doctrine in the judgment-debtor indexes.</w:t>
      </w:r>
    </w:p>
    <w:p w14:paraId="7BE8A99E" w14:textId="77777777" w:rsidR="003816CC" w:rsidRPr="003816CC" w:rsidRDefault="003816CC" w:rsidP="003816CC">
      <w:pPr>
        <w:spacing w:after="240"/>
        <w:jc w:val="both"/>
        <w:rPr>
          <w:rFonts w:ascii="Times New Roman" w:hAnsi="Times New Roman" w:cs="Times New Roman"/>
          <w:sz w:val="24"/>
          <w:szCs w:val="24"/>
        </w:rPr>
      </w:pPr>
      <w:r w:rsidRPr="003816CC">
        <w:rPr>
          <w:rFonts w:ascii="Times New Roman" w:hAnsi="Times New Roman" w:cs="Times New Roman"/>
          <w:sz w:val="24"/>
          <w:szCs w:val="24"/>
        </w:rPr>
        <w:t>We further conclude that the misspelling of Bolan as “B-o-l-e-n,” does not rise to being “otherwise identifiable.” Unlike many states that statutorily require land descriptions with lien filings, Ohio’s indexes merely require a name.</w:t>
      </w:r>
    </w:p>
    <w:p w14:paraId="27C00CC2" w14:textId="27F59D7E" w:rsidR="003D726C" w:rsidRDefault="003816CC" w:rsidP="003816CC">
      <w:pPr>
        <w:jc w:val="both"/>
        <w:rPr>
          <w:rFonts w:ascii="Times New Roman" w:hAnsi="Times New Roman" w:cs="Times New Roman"/>
          <w:sz w:val="24"/>
          <w:szCs w:val="24"/>
        </w:rPr>
      </w:pPr>
      <w:r w:rsidRPr="003816CC">
        <w:rPr>
          <w:rFonts w:ascii="Times New Roman" w:hAnsi="Times New Roman" w:cs="Times New Roman"/>
          <w:sz w:val="24"/>
          <w:szCs w:val="24"/>
        </w:rPr>
        <w:t xml:space="preserve">Finally, with the exception of </w:t>
      </w:r>
      <w:r w:rsidRPr="003816CC">
        <w:rPr>
          <w:rFonts w:ascii="Times New Roman" w:hAnsi="Times New Roman" w:cs="Times New Roman"/>
          <w:i/>
          <w:iCs/>
          <w:sz w:val="24"/>
          <w:szCs w:val="24"/>
        </w:rPr>
        <w:t>Gleich,</w:t>
      </w:r>
      <w:r w:rsidRPr="003816CC">
        <w:rPr>
          <w:rFonts w:ascii="Times New Roman" w:hAnsi="Times New Roman" w:cs="Times New Roman"/>
          <w:sz w:val="24"/>
          <w:szCs w:val="24"/>
        </w:rPr>
        <w:t xml:space="preserve"> the courts have not strictly applied </w:t>
      </w:r>
      <w:r w:rsidRPr="003816CC">
        <w:rPr>
          <w:rFonts w:ascii="Times New Roman" w:hAnsi="Times New Roman" w:cs="Times New Roman"/>
          <w:i/>
          <w:iCs/>
          <w:sz w:val="24"/>
          <w:szCs w:val="24"/>
        </w:rPr>
        <w:t>idem sonans.</w:t>
      </w:r>
      <w:r w:rsidRPr="003816CC">
        <w:rPr>
          <w:rFonts w:ascii="Times New Roman" w:hAnsi="Times New Roman" w:cs="Times New Roman"/>
          <w:sz w:val="24"/>
          <w:szCs w:val="24"/>
        </w:rPr>
        <w:t xml:space="preserve"> We find instead a conditional application, which includes as a factor whether the individual is otherwise identified, and in only one case has the doctrine been applied to listings in a judgment-lien name index. We cannot, in sum, find any authority mandating strict application of the </w:t>
      </w:r>
      <w:r w:rsidRPr="003816CC">
        <w:rPr>
          <w:rFonts w:ascii="Times New Roman" w:hAnsi="Times New Roman" w:cs="Times New Roman"/>
          <w:i/>
          <w:iCs/>
          <w:sz w:val="24"/>
          <w:szCs w:val="24"/>
        </w:rPr>
        <w:t>idem sonans</w:t>
      </w:r>
      <w:r w:rsidRPr="003816CC">
        <w:rPr>
          <w:rFonts w:ascii="Times New Roman" w:hAnsi="Times New Roman" w:cs="Times New Roman"/>
          <w:sz w:val="24"/>
          <w:szCs w:val="24"/>
        </w:rPr>
        <w:t xml:space="preserve"> doctrine. …</w:t>
      </w:r>
    </w:p>
    <w:p w14:paraId="14A7C597" w14:textId="77777777" w:rsidR="003D726C" w:rsidRDefault="003D726C">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14:paraId="5C0ABDCF" w14:textId="5E8513D1" w:rsidR="003D726C" w:rsidRPr="003D726C" w:rsidRDefault="003D726C" w:rsidP="003D726C">
      <w:pPr>
        <w:jc w:val="center"/>
        <w:rPr>
          <w:rFonts w:ascii="Times New Roman" w:hAnsi="Times New Roman" w:cs="Times New Roman"/>
          <w:b/>
          <w:sz w:val="24"/>
          <w:szCs w:val="24"/>
        </w:rPr>
      </w:pPr>
      <w:r w:rsidRPr="003D726C">
        <w:rPr>
          <w:rFonts w:ascii="Times New Roman" w:hAnsi="Times New Roman" w:cs="Times New Roman"/>
          <w:b/>
          <w:sz w:val="24"/>
          <w:szCs w:val="24"/>
        </w:rPr>
        <w:t>California Government Code §</w:t>
      </w:r>
      <w:r w:rsidR="000F3BAA">
        <w:rPr>
          <w:rFonts w:ascii="Times New Roman" w:hAnsi="Times New Roman" w:cs="Times New Roman"/>
          <w:b/>
          <w:sz w:val="24"/>
          <w:szCs w:val="24"/>
        </w:rPr>
        <w:t xml:space="preserve"> </w:t>
      </w:r>
      <w:r w:rsidRPr="003D726C">
        <w:rPr>
          <w:rFonts w:ascii="Times New Roman" w:hAnsi="Times New Roman" w:cs="Times New Roman"/>
          <w:b/>
          <w:sz w:val="24"/>
          <w:szCs w:val="24"/>
        </w:rPr>
        <w:t>12955</w:t>
      </w:r>
    </w:p>
    <w:p w14:paraId="6F5FA3F1" w14:textId="77777777" w:rsidR="003D726C" w:rsidRPr="003D726C" w:rsidRDefault="003D726C" w:rsidP="003D726C">
      <w:pPr>
        <w:jc w:val="both"/>
        <w:rPr>
          <w:rFonts w:ascii="Times New Roman" w:hAnsi="Times New Roman" w:cs="Times New Roman"/>
          <w:sz w:val="24"/>
          <w:szCs w:val="24"/>
        </w:rPr>
      </w:pPr>
      <w:r w:rsidRPr="003D726C">
        <w:rPr>
          <w:rFonts w:ascii="Times New Roman" w:hAnsi="Times New Roman" w:cs="Times New Roman"/>
          <w:sz w:val="24"/>
          <w:szCs w:val="24"/>
        </w:rPr>
        <w:t>It shall be unlawful:</w:t>
      </w:r>
    </w:p>
    <w:p w14:paraId="6CC68F96" w14:textId="77777777" w:rsidR="003D726C" w:rsidRPr="003D726C" w:rsidRDefault="003D726C" w:rsidP="003D726C">
      <w:pPr>
        <w:jc w:val="both"/>
        <w:rPr>
          <w:rFonts w:ascii="Times New Roman" w:hAnsi="Times New Roman" w:cs="Times New Roman"/>
          <w:sz w:val="24"/>
          <w:szCs w:val="24"/>
        </w:rPr>
      </w:pPr>
      <w:r w:rsidRPr="003D726C">
        <w:rPr>
          <w:rFonts w:ascii="Times New Roman" w:hAnsi="Times New Roman" w:cs="Times New Roman"/>
          <w:sz w:val="24"/>
          <w:szCs w:val="24"/>
        </w:rPr>
        <w:t>(a) For the owner of any housing accommodation to discriminate against or harass any person because of the race, color, religion, sex, gender, gender identity, gender expression, sexual orientation, marital status, national origin, ancestry, familial status, source of income, disability, or genetic information of that person.</w:t>
      </w:r>
    </w:p>
    <w:p w14:paraId="123641CE" w14:textId="4B6A048E" w:rsidR="003D726C" w:rsidRPr="003D726C" w:rsidRDefault="003D726C" w:rsidP="003D726C">
      <w:pPr>
        <w:jc w:val="both"/>
        <w:rPr>
          <w:rFonts w:ascii="Times New Roman" w:hAnsi="Times New Roman" w:cs="Times New Roman"/>
          <w:sz w:val="24"/>
          <w:szCs w:val="24"/>
        </w:rPr>
      </w:pPr>
      <w:r>
        <w:rPr>
          <w:rFonts w:ascii="Times New Roman" w:hAnsi="Times New Roman" w:cs="Times New Roman"/>
          <w:sz w:val="24"/>
          <w:szCs w:val="24"/>
        </w:rPr>
        <w:t>[Sections (b) through (k) contain no relevant provisions and have been omitted]</w:t>
      </w:r>
    </w:p>
    <w:p w14:paraId="5F22C2BE" w14:textId="6EBB59E1" w:rsidR="003816CC" w:rsidRDefault="003D726C" w:rsidP="003D726C">
      <w:pPr>
        <w:jc w:val="both"/>
        <w:rPr>
          <w:rFonts w:ascii="Times New Roman" w:hAnsi="Times New Roman" w:cs="Times New Roman"/>
          <w:sz w:val="24"/>
          <w:szCs w:val="24"/>
        </w:rPr>
      </w:pPr>
      <w:r w:rsidRPr="003D726C">
        <w:rPr>
          <w:rFonts w:ascii="Times New Roman" w:hAnsi="Times New Roman" w:cs="Times New Roman"/>
          <w:sz w:val="24"/>
          <w:szCs w:val="24"/>
        </w:rPr>
        <w:t>(m) As used in this section, “race, color, religion, sex, gender, gender identity, gender expression, sexual orientation, marital status, national origin, ancestry, familial status, source of income, disability, or genetic information,” includes a perception that the person has any of those characteristics or that the person is associated with a person who has, or is perceived to have, any of those characteristics.</w:t>
      </w:r>
    </w:p>
    <w:p w14:paraId="2473F81D" w14:textId="3BC4FBD7" w:rsidR="000F3BAA" w:rsidRDefault="000F3BAA" w:rsidP="003D726C">
      <w:pPr>
        <w:jc w:val="both"/>
        <w:rPr>
          <w:rFonts w:ascii="Times New Roman" w:hAnsi="Times New Roman" w:cs="Times New Roman"/>
          <w:sz w:val="24"/>
          <w:szCs w:val="24"/>
        </w:rPr>
      </w:pPr>
    </w:p>
    <w:p w14:paraId="3EA1D347" w14:textId="77777777" w:rsidR="000F3BAA" w:rsidRDefault="000F3BAA" w:rsidP="000F3BAA">
      <w:pPr>
        <w:shd w:val="clear" w:color="auto" w:fill="FFFFFF"/>
        <w:spacing w:after="0" w:line="240" w:lineRule="auto"/>
        <w:textAlignment w:val="baseline"/>
        <w:outlineLvl w:val="5"/>
        <w:rPr>
          <w:rFonts w:ascii="Times New Roman" w:hAnsi="Times New Roman" w:cs="Times New Roman"/>
          <w:sz w:val="24"/>
          <w:szCs w:val="24"/>
        </w:rPr>
      </w:pPr>
    </w:p>
    <w:p w14:paraId="709E5C31" w14:textId="480D3B1E" w:rsidR="000F3BAA" w:rsidRPr="000F3BAA" w:rsidRDefault="000F3BAA" w:rsidP="000F3BAA">
      <w:pPr>
        <w:shd w:val="clear" w:color="auto" w:fill="FFFFFF"/>
        <w:spacing w:after="0" w:line="240" w:lineRule="auto"/>
        <w:jc w:val="center"/>
        <w:textAlignment w:val="baseline"/>
        <w:outlineLvl w:val="5"/>
        <w:rPr>
          <w:rFonts w:ascii="Times New Roman" w:eastAsia="Times New Roman" w:hAnsi="Times New Roman" w:cs="Times New Roman"/>
          <w:b/>
          <w:bCs/>
          <w:color w:val="000000"/>
          <w:sz w:val="24"/>
          <w:szCs w:val="24"/>
        </w:rPr>
      </w:pPr>
      <w:r w:rsidRPr="000F3BAA">
        <w:rPr>
          <w:rFonts w:ascii="Times New Roman" w:eastAsia="Times New Roman" w:hAnsi="Times New Roman" w:cs="Times New Roman"/>
          <w:b/>
          <w:color w:val="333333"/>
          <w:sz w:val="24"/>
          <w:szCs w:val="24"/>
        </w:rPr>
        <w:t xml:space="preserve">California Code of Civil Procedure </w:t>
      </w:r>
      <w:r w:rsidRPr="000F3BAA">
        <w:rPr>
          <w:rFonts w:ascii="Times New Roman" w:hAnsi="Times New Roman" w:cs="Times New Roman"/>
          <w:b/>
          <w:sz w:val="24"/>
          <w:szCs w:val="24"/>
        </w:rPr>
        <w:t xml:space="preserve">§ </w:t>
      </w:r>
      <w:r w:rsidRPr="000F3BAA">
        <w:rPr>
          <w:rFonts w:ascii="Times New Roman" w:eastAsia="Times New Roman" w:hAnsi="Times New Roman" w:cs="Times New Roman"/>
          <w:b/>
          <w:bCs/>
          <w:color w:val="000000"/>
          <w:sz w:val="24"/>
          <w:szCs w:val="24"/>
        </w:rPr>
        <w:t>1161.4.</w:t>
      </w:r>
    </w:p>
    <w:p w14:paraId="12EA4093" w14:textId="0828AEAC" w:rsidR="000F3BAA" w:rsidRPr="000F3BAA" w:rsidRDefault="000F3BAA" w:rsidP="000F3BAA">
      <w:pPr>
        <w:shd w:val="clear" w:color="auto" w:fill="FFFFFF"/>
        <w:spacing w:line="240" w:lineRule="auto"/>
        <w:jc w:val="both"/>
        <w:textAlignment w:val="baseline"/>
        <w:rPr>
          <w:rFonts w:ascii="Times New Roman" w:eastAsia="Times New Roman" w:hAnsi="Times New Roman" w:cs="Times New Roman"/>
          <w:color w:val="333333"/>
          <w:sz w:val="24"/>
          <w:szCs w:val="24"/>
        </w:rPr>
      </w:pPr>
    </w:p>
    <w:p w14:paraId="281EAC39" w14:textId="77777777" w:rsidR="000F3BAA" w:rsidRPr="000F3BAA" w:rsidRDefault="000F3BAA" w:rsidP="000F3BAA">
      <w:pPr>
        <w:shd w:val="clear" w:color="auto" w:fill="FFFFFF"/>
        <w:spacing w:line="240" w:lineRule="auto"/>
        <w:jc w:val="both"/>
        <w:textAlignment w:val="baseline"/>
        <w:rPr>
          <w:rFonts w:ascii="Times New Roman" w:eastAsia="Times New Roman" w:hAnsi="Times New Roman" w:cs="Times New Roman"/>
          <w:color w:val="333333"/>
          <w:sz w:val="24"/>
          <w:szCs w:val="24"/>
        </w:rPr>
      </w:pPr>
      <w:r w:rsidRPr="000F3BAA">
        <w:rPr>
          <w:rFonts w:ascii="Times New Roman" w:eastAsia="Times New Roman" w:hAnsi="Times New Roman" w:cs="Times New Roman"/>
          <w:color w:val="333333"/>
          <w:sz w:val="24"/>
          <w:szCs w:val="24"/>
        </w:rPr>
        <w:t> (a) A landlord shall not cause a tenant or occupant to quit involuntarily or bring an action to recover possession because of the immigration or citizenship status of a tenant, occupant, or other person known to the landlord to be associated with a tenant or occupant, unless the landlord is complying with any legal obligation under any federal government program that provides for rent limitations or rental assistance to a qualified tenant.</w:t>
      </w:r>
    </w:p>
    <w:p w14:paraId="21AD2A2E" w14:textId="77777777" w:rsidR="000F3BAA" w:rsidRDefault="000F3BAA" w:rsidP="003D726C">
      <w:pPr>
        <w:jc w:val="both"/>
        <w:rPr>
          <w:rFonts w:ascii="Times New Roman" w:hAnsi="Times New Roman" w:cs="Times New Roman"/>
          <w:sz w:val="24"/>
          <w:szCs w:val="24"/>
        </w:rPr>
      </w:pPr>
    </w:p>
    <w:p w14:paraId="7B69966B" w14:textId="2E9D9353" w:rsidR="001D1C09" w:rsidRPr="002539BF" w:rsidRDefault="002539BF" w:rsidP="002539BF">
      <w:pPr>
        <w:jc w:val="center"/>
        <w:rPr>
          <w:rFonts w:ascii="Times New Roman" w:hAnsi="Times New Roman" w:cs="Times New Roman"/>
          <w:sz w:val="24"/>
          <w:szCs w:val="24"/>
        </w:rPr>
      </w:pPr>
      <w:r>
        <w:rPr>
          <w:rFonts w:ascii="Times New Roman" w:hAnsi="Times New Roman" w:cs="Times New Roman"/>
          <w:sz w:val="24"/>
          <w:szCs w:val="24"/>
        </w:rPr>
        <w:t>END OF EXAM</w:t>
      </w:r>
    </w:p>
    <w:sectPr w:rsidR="001D1C09" w:rsidRPr="002539BF" w:rsidSect="003D13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7712A" w14:textId="77777777" w:rsidR="00BF2D27" w:rsidRDefault="00BF2D27">
      <w:pPr>
        <w:spacing w:after="0" w:line="240" w:lineRule="auto"/>
      </w:pPr>
      <w:r>
        <w:separator/>
      </w:r>
    </w:p>
  </w:endnote>
  <w:endnote w:type="continuationSeparator" w:id="0">
    <w:p w14:paraId="28EE89F6" w14:textId="77777777" w:rsidR="00BF2D27" w:rsidRDefault="00BF2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aramond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92785"/>
      <w:docPartObj>
        <w:docPartGallery w:val="Page Numbers (Bottom of Page)"/>
        <w:docPartUnique/>
      </w:docPartObj>
    </w:sdtPr>
    <w:sdtEndPr>
      <w:rPr>
        <w:noProof/>
      </w:rPr>
    </w:sdtEndPr>
    <w:sdtContent>
      <w:p w14:paraId="755A9164" w14:textId="7AEDB784" w:rsidR="00A90420" w:rsidRDefault="000D4944">
        <w:pPr>
          <w:pStyle w:val="Footer"/>
          <w:jc w:val="center"/>
        </w:pPr>
        <w:r>
          <w:fldChar w:fldCharType="begin"/>
        </w:r>
        <w:r>
          <w:instrText xml:space="preserve"> PAGE   \* MERGEFORMAT </w:instrText>
        </w:r>
        <w:r>
          <w:fldChar w:fldCharType="separate"/>
        </w:r>
        <w:r w:rsidR="002539BF">
          <w:rPr>
            <w:noProof/>
          </w:rPr>
          <w:t>8</w:t>
        </w:r>
        <w:r>
          <w:rPr>
            <w:noProof/>
          </w:rPr>
          <w:fldChar w:fldCharType="end"/>
        </w:r>
      </w:p>
    </w:sdtContent>
  </w:sdt>
  <w:p w14:paraId="2E8896E0" w14:textId="77777777" w:rsidR="00A90420" w:rsidRDefault="00BF2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626376"/>
      <w:docPartObj>
        <w:docPartGallery w:val="Page Numbers (Bottom of Page)"/>
        <w:docPartUnique/>
      </w:docPartObj>
    </w:sdtPr>
    <w:sdtEndPr>
      <w:rPr>
        <w:noProof/>
      </w:rPr>
    </w:sdtEndPr>
    <w:sdtContent>
      <w:p w14:paraId="62C3D5EC" w14:textId="37D702A7" w:rsidR="003D1339" w:rsidRDefault="003D1339">
        <w:pPr>
          <w:pStyle w:val="Footer"/>
          <w:jc w:val="center"/>
        </w:pPr>
        <w:r>
          <w:fldChar w:fldCharType="begin"/>
        </w:r>
        <w:r>
          <w:instrText xml:space="preserve"> PAGE   \* MERGEFORMAT </w:instrText>
        </w:r>
        <w:r>
          <w:fldChar w:fldCharType="separate"/>
        </w:r>
        <w:r w:rsidR="00BF2D27">
          <w:rPr>
            <w:noProof/>
          </w:rPr>
          <w:t>1</w:t>
        </w:r>
        <w:r>
          <w:rPr>
            <w:noProof/>
          </w:rPr>
          <w:fldChar w:fldCharType="end"/>
        </w:r>
      </w:p>
    </w:sdtContent>
  </w:sdt>
  <w:p w14:paraId="45B59C8D" w14:textId="77777777" w:rsidR="00A90420" w:rsidRDefault="00BF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26B6E" w14:textId="77777777" w:rsidR="00BF2D27" w:rsidRDefault="00BF2D27">
      <w:pPr>
        <w:spacing w:after="0" w:line="240" w:lineRule="auto"/>
      </w:pPr>
      <w:r>
        <w:separator/>
      </w:r>
    </w:p>
  </w:footnote>
  <w:footnote w:type="continuationSeparator" w:id="0">
    <w:p w14:paraId="3E2760C0" w14:textId="77777777" w:rsidR="00BF2D27" w:rsidRDefault="00BF2D27">
      <w:pPr>
        <w:spacing w:after="0" w:line="240" w:lineRule="auto"/>
      </w:pPr>
      <w:r>
        <w:continuationSeparator/>
      </w:r>
    </w:p>
  </w:footnote>
  <w:footnote w:id="1">
    <w:p w14:paraId="0DB639C8" w14:textId="77777777" w:rsidR="003816CC" w:rsidRPr="003816CC" w:rsidRDefault="003816CC" w:rsidP="003816CC">
      <w:pPr>
        <w:pStyle w:val="FootnoteTextProp"/>
        <w:jc w:val="both"/>
        <w:rPr>
          <w:rFonts w:ascii="Times New Roman" w:hAnsi="Times New Roman" w:cs="Times New Roman"/>
          <w:sz w:val="22"/>
          <w:szCs w:val="22"/>
        </w:rPr>
      </w:pPr>
      <w:r w:rsidRPr="003816CC">
        <w:rPr>
          <w:rStyle w:val="FootnoteReference"/>
          <w:rFonts w:ascii="Times New Roman" w:hAnsi="Times New Roman" w:cs="Times New Roman"/>
          <w:sz w:val="22"/>
          <w:szCs w:val="22"/>
        </w:rPr>
        <w:t>1</w:t>
      </w:r>
      <w:r w:rsidRPr="003816CC">
        <w:rPr>
          <w:rFonts w:ascii="Times New Roman" w:hAnsi="Times New Roman" w:cs="Times New Roman"/>
          <w:sz w:val="22"/>
          <w:szCs w:val="22"/>
        </w:rPr>
        <w:t xml:space="preserve"> The doctrine of idem sonans is defined in 70 </w:t>
      </w:r>
      <w:r w:rsidRPr="003816CC">
        <w:rPr>
          <w:rFonts w:ascii="Times New Roman" w:hAnsi="Times New Roman" w:cs="Times New Roman"/>
          <w:smallCaps/>
          <w:sz w:val="22"/>
          <w:szCs w:val="22"/>
        </w:rPr>
        <w:t>Ohio Jurisprudence</w:t>
      </w:r>
      <w:r w:rsidRPr="003816CC">
        <w:rPr>
          <w:rFonts w:ascii="Times New Roman" w:hAnsi="Times New Roman" w:cs="Times New Roman"/>
          <w:sz w:val="22"/>
          <w:szCs w:val="22"/>
        </w:rPr>
        <w:t xml:space="preserve"> 3d (1986) 21-22, </w:t>
      </w:r>
      <w:r w:rsidRPr="003816CC">
        <w:rPr>
          <w:rFonts w:ascii="Times New Roman" w:hAnsi="Times New Roman" w:cs="Times New Roman"/>
          <w:i/>
          <w:sz w:val="22"/>
          <w:szCs w:val="22"/>
        </w:rPr>
        <w:t>Names</w:t>
      </w:r>
      <w:r w:rsidRPr="003816CC">
        <w:rPr>
          <w:rFonts w:ascii="Times New Roman" w:hAnsi="Times New Roman" w:cs="Times New Roman"/>
          <w:sz w:val="22"/>
          <w:szCs w:val="22"/>
        </w:rPr>
        <w:t>, Section 18, as follows:</w:t>
      </w:r>
    </w:p>
    <w:p w14:paraId="22D37630" w14:textId="77777777" w:rsidR="003816CC" w:rsidRDefault="003816CC" w:rsidP="003816CC">
      <w:pPr>
        <w:pStyle w:val="FootnoteTextProp"/>
        <w:ind w:left="720" w:right="720"/>
        <w:jc w:val="both"/>
      </w:pPr>
      <w:r w:rsidRPr="003816CC">
        <w:rPr>
          <w:rFonts w:ascii="Times New Roman" w:hAnsi="Times New Roman" w:cs="Times New Roman"/>
          <w:sz w:val="22"/>
          <w:szCs w:val="22"/>
        </w:rPr>
        <w:t>“The arbitrary orthography and pronunciation given to proper names, and the variant spelling resulting from ignorance have led the courts to formulate the doctrine of `idem sonans,’ which means `sounding the same.’ Under this doctrine a mistake in spelling the name of a party is immaterial if both modes of spelling have the same sound. The grounds for applying the doctrine to slight variations in spelling is that of de minimis non curat lex – the principle that the law is not concerned with trifles. The general rule in Ohio seems to be that a change in the spelling of a word which does not alter its meaning, or in the spelling of a name where the idem sonans is preserved, is not a material variance. Thus, it is not every mistake in names which will invalidate an instrument or proceeding. To have this effect, the mistake must be such that a person cannot be identified, or that the error describes another. Since words are intended to be spoken, bad spelling will not vitiate their intended effect where the sound is substantially preserved.”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20A"/>
    <w:multiLevelType w:val="hybridMultilevel"/>
    <w:tmpl w:val="7BBAF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C60BD"/>
    <w:multiLevelType w:val="multilevel"/>
    <w:tmpl w:val="21D42D44"/>
    <w:lvl w:ilvl="0">
      <w:start w:val="2"/>
      <w:numFmt w:val="upperLetter"/>
      <w:lvlText w:val="%1."/>
      <w:lvlJc w:val="left"/>
      <w:pPr>
        <w:ind w:left="0" w:firstLine="0"/>
      </w:pPr>
      <w:rPr>
        <w:rFonts w:hint="default"/>
      </w:rPr>
    </w:lvl>
    <w:lvl w:ilvl="1">
      <w:start w:val="1"/>
      <w:numFmt w:val="upperLetter"/>
      <w:lvlText w:val="%2."/>
      <w:lvlJc w:val="left"/>
      <w:pPr>
        <w:ind w:left="72" w:hanging="72"/>
      </w:pPr>
      <w:rPr>
        <w:rFonts w:hint="default"/>
      </w:rPr>
    </w:lvl>
    <w:lvl w:ilvl="2">
      <w:start w:val="1"/>
      <w:numFmt w:val="upperLetter"/>
      <w:lvlText w:val="%3."/>
      <w:lvlJc w:val="left"/>
      <w:pPr>
        <w:ind w:left="0" w:firstLine="0"/>
      </w:pPr>
      <w:rPr>
        <w:rFonts w:hint="default"/>
      </w:rPr>
    </w:lvl>
    <w:lvl w:ilvl="3">
      <w:start w:val="1"/>
      <w:numFmt w:val="upperLetter"/>
      <w:lvlText w:val="%4."/>
      <w:lvlJc w:val="left"/>
      <w:pPr>
        <w:ind w:left="0" w:firstLine="0"/>
      </w:pPr>
      <w:rPr>
        <w:rFonts w:hint="default"/>
      </w:rPr>
    </w:lvl>
    <w:lvl w:ilvl="4">
      <w:start w:val="1"/>
      <w:numFmt w:val="upperLetter"/>
      <w:lvlText w:val="%5."/>
      <w:lvlJc w:val="left"/>
      <w:pPr>
        <w:ind w:left="0" w:firstLine="0"/>
      </w:pPr>
      <w:rPr>
        <w:rFonts w:hint="default"/>
      </w:rPr>
    </w:lvl>
    <w:lvl w:ilvl="5">
      <w:start w:val="1"/>
      <w:numFmt w:val="upperLetter"/>
      <w:lvlText w:val="%6."/>
      <w:lvlJc w:val="left"/>
      <w:pPr>
        <w:ind w:left="0" w:firstLine="0"/>
      </w:pPr>
      <w:rPr>
        <w:rFonts w:hint="default"/>
      </w:rPr>
    </w:lvl>
    <w:lvl w:ilvl="6">
      <w:start w:val="1"/>
      <w:numFmt w:val="upperLetter"/>
      <w:lvlText w:val="%7."/>
      <w:lvlJc w:val="left"/>
      <w:pPr>
        <w:ind w:left="0" w:firstLine="0"/>
      </w:pPr>
      <w:rPr>
        <w:rFonts w:hint="default"/>
      </w:rPr>
    </w:lvl>
    <w:lvl w:ilvl="7">
      <w:start w:val="1"/>
      <w:numFmt w:val="upp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087D5887"/>
    <w:multiLevelType w:val="hybridMultilevel"/>
    <w:tmpl w:val="4268E69E"/>
    <w:lvl w:ilvl="0" w:tplc="CDA00D1A">
      <w:start w:val="1"/>
      <w:numFmt w:val="decimal"/>
      <w:lvlText w:val="%1."/>
      <w:lvlJc w:val="left"/>
      <w:pPr>
        <w:ind w:left="360" w:hanging="360"/>
      </w:pPr>
      <w:rPr>
        <w:rFonts w:hint="default"/>
        <w:b w:val="0"/>
      </w:rPr>
    </w:lvl>
    <w:lvl w:ilvl="1" w:tplc="6D340736">
      <w:start w:val="1"/>
      <w:numFmt w:val="upp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94342AD"/>
    <w:multiLevelType w:val="hybridMultilevel"/>
    <w:tmpl w:val="F98AA86C"/>
    <w:lvl w:ilvl="0" w:tplc="06847898">
      <w:start w:val="1"/>
      <w:numFmt w:val="upperLetter"/>
      <w:lvlText w:val="%1."/>
      <w:lvlJc w:val="left"/>
      <w:pPr>
        <w:ind w:left="144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C366948"/>
    <w:multiLevelType w:val="hybridMultilevel"/>
    <w:tmpl w:val="64EE5CA2"/>
    <w:lvl w:ilvl="0" w:tplc="ABD0F038">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C5B56"/>
    <w:multiLevelType w:val="multilevel"/>
    <w:tmpl w:val="527E3C34"/>
    <w:lvl w:ilvl="0">
      <w:start w:val="2"/>
      <w:numFmt w:val="upperLetter"/>
      <w:lvlText w:val="%1."/>
      <w:legacy w:legacy="1" w:legacySpace="0" w:legacyIndent="0"/>
      <w:lvlJc w:val="left"/>
      <w:pPr>
        <w:ind w:left="0" w:firstLine="0"/>
      </w:pPr>
    </w:lvl>
    <w:lvl w:ilvl="1">
      <w:start w:val="2"/>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15:restartNumberingAfterBreak="0">
    <w:nsid w:val="3FC64AC3"/>
    <w:multiLevelType w:val="hybridMultilevel"/>
    <w:tmpl w:val="2370C834"/>
    <w:lvl w:ilvl="0" w:tplc="C518DD2A">
      <w:start w:val="1"/>
      <w:numFmt w:val="upperLetter"/>
      <w:lvlText w:val="%1."/>
      <w:lvlJc w:val="lef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402DB"/>
    <w:multiLevelType w:val="hybridMultilevel"/>
    <w:tmpl w:val="4F002622"/>
    <w:lvl w:ilvl="0" w:tplc="6D3407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A334DC9"/>
    <w:multiLevelType w:val="multilevel"/>
    <w:tmpl w:val="7FC05168"/>
    <w:lvl w:ilvl="0">
      <w:start w:val="3"/>
      <w:numFmt w:val="upperLetter"/>
      <w:lvlText w:val="%1."/>
      <w:legacy w:legacy="1" w:legacySpace="0" w:legacyIndent="0"/>
      <w:lvlJc w:val="left"/>
      <w:pPr>
        <w:ind w:left="0" w:firstLine="0"/>
      </w:pPr>
    </w:lvl>
    <w:lvl w:ilvl="1">
      <w:start w:val="1"/>
      <w:numFmt w:val="upperLetter"/>
      <w:lvlText w:val="%2."/>
      <w:lvlJc w:val="left"/>
      <w:pPr>
        <w:tabs>
          <w:tab w:val="num" w:pos="360"/>
        </w:tabs>
        <w:ind w:left="360" w:hanging="36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15:restartNumberingAfterBreak="0">
    <w:nsid w:val="590D183D"/>
    <w:multiLevelType w:val="multilevel"/>
    <w:tmpl w:val="01A0B176"/>
    <w:lvl w:ilvl="0">
      <w:start w:val="1"/>
      <w:numFmt w:val="decimal"/>
      <w:lvlText w:val="%1."/>
      <w:lvlJc w:val="left"/>
      <w:pPr>
        <w:ind w:left="0" w:firstLine="0"/>
      </w:pPr>
    </w:lvl>
    <w:lvl w:ilvl="1">
      <w:start w:val="5"/>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15:restartNumberingAfterBreak="0">
    <w:nsid w:val="59694828"/>
    <w:multiLevelType w:val="hybridMultilevel"/>
    <w:tmpl w:val="F5FC62A0"/>
    <w:lvl w:ilvl="0" w:tplc="6D3407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4B45CFA"/>
    <w:multiLevelType w:val="hybridMultilevel"/>
    <w:tmpl w:val="51AC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9"/>
  </w:num>
  <w:num w:numId="5">
    <w:abstractNumId w:val="5"/>
  </w:num>
  <w:num w:numId="6">
    <w:abstractNumId w:val="1"/>
  </w:num>
  <w:num w:numId="7">
    <w:abstractNumId w:val="2"/>
  </w:num>
  <w:num w:numId="8">
    <w:abstractNumId w:val="3"/>
  </w:num>
  <w:num w:numId="9">
    <w:abstractNumId w:val="6"/>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5A"/>
    <w:rsid w:val="000178F1"/>
    <w:rsid w:val="000263F3"/>
    <w:rsid w:val="00036ADC"/>
    <w:rsid w:val="0007316C"/>
    <w:rsid w:val="00073992"/>
    <w:rsid w:val="000838E7"/>
    <w:rsid w:val="000B26BC"/>
    <w:rsid w:val="000D249A"/>
    <w:rsid w:val="000D4944"/>
    <w:rsid w:val="000F3BAA"/>
    <w:rsid w:val="00160C5C"/>
    <w:rsid w:val="00163A18"/>
    <w:rsid w:val="00180A69"/>
    <w:rsid w:val="00191569"/>
    <w:rsid w:val="001D1C09"/>
    <w:rsid w:val="001E40A9"/>
    <w:rsid w:val="00216F65"/>
    <w:rsid w:val="00235CD4"/>
    <w:rsid w:val="002539BF"/>
    <w:rsid w:val="00296CA2"/>
    <w:rsid w:val="002B0908"/>
    <w:rsid w:val="002B69E0"/>
    <w:rsid w:val="002C105F"/>
    <w:rsid w:val="002D0C10"/>
    <w:rsid w:val="003036AF"/>
    <w:rsid w:val="00306CDB"/>
    <w:rsid w:val="0033582F"/>
    <w:rsid w:val="003816CC"/>
    <w:rsid w:val="003A65EE"/>
    <w:rsid w:val="003B3CF2"/>
    <w:rsid w:val="003D1339"/>
    <w:rsid w:val="003D726C"/>
    <w:rsid w:val="00415971"/>
    <w:rsid w:val="00423431"/>
    <w:rsid w:val="0044262E"/>
    <w:rsid w:val="00444CFA"/>
    <w:rsid w:val="00462A5E"/>
    <w:rsid w:val="004B509C"/>
    <w:rsid w:val="00501EA6"/>
    <w:rsid w:val="00505481"/>
    <w:rsid w:val="0051251A"/>
    <w:rsid w:val="00512C8C"/>
    <w:rsid w:val="00532BDB"/>
    <w:rsid w:val="00566ADA"/>
    <w:rsid w:val="005A19AE"/>
    <w:rsid w:val="005B1FE2"/>
    <w:rsid w:val="005E64A4"/>
    <w:rsid w:val="006068B3"/>
    <w:rsid w:val="00636506"/>
    <w:rsid w:val="00682AB5"/>
    <w:rsid w:val="00687516"/>
    <w:rsid w:val="006A4573"/>
    <w:rsid w:val="006B0C40"/>
    <w:rsid w:val="006C3EB3"/>
    <w:rsid w:val="006D36D8"/>
    <w:rsid w:val="006D4561"/>
    <w:rsid w:val="00717499"/>
    <w:rsid w:val="00751628"/>
    <w:rsid w:val="00764B92"/>
    <w:rsid w:val="00772A18"/>
    <w:rsid w:val="007A31AC"/>
    <w:rsid w:val="007C2B9F"/>
    <w:rsid w:val="00824D2B"/>
    <w:rsid w:val="00825E56"/>
    <w:rsid w:val="00835843"/>
    <w:rsid w:val="008524C2"/>
    <w:rsid w:val="00860A1F"/>
    <w:rsid w:val="00861754"/>
    <w:rsid w:val="00893222"/>
    <w:rsid w:val="008A1E69"/>
    <w:rsid w:val="008B100C"/>
    <w:rsid w:val="008E2198"/>
    <w:rsid w:val="0092347A"/>
    <w:rsid w:val="00962507"/>
    <w:rsid w:val="009A1A7E"/>
    <w:rsid w:val="009C3E00"/>
    <w:rsid w:val="009D289B"/>
    <w:rsid w:val="009D3E8C"/>
    <w:rsid w:val="00A05AE2"/>
    <w:rsid w:val="00A31DFB"/>
    <w:rsid w:val="00A41A7F"/>
    <w:rsid w:val="00A52976"/>
    <w:rsid w:val="00A530DB"/>
    <w:rsid w:val="00A832AE"/>
    <w:rsid w:val="00A96D2D"/>
    <w:rsid w:val="00AD3339"/>
    <w:rsid w:val="00B11E6D"/>
    <w:rsid w:val="00B61805"/>
    <w:rsid w:val="00B7293E"/>
    <w:rsid w:val="00BA23D2"/>
    <w:rsid w:val="00BA5346"/>
    <w:rsid w:val="00BC4C83"/>
    <w:rsid w:val="00BF2D27"/>
    <w:rsid w:val="00C17B5A"/>
    <w:rsid w:val="00D25AFC"/>
    <w:rsid w:val="00D53DA1"/>
    <w:rsid w:val="00DC5A76"/>
    <w:rsid w:val="00DE0FEE"/>
    <w:rsid w:val="00E1515E"/>
    <w:rsid w:val="00E33359"/>
    <w:rsid w:val="00F35626"/>
    <w:rsid w:val="00F95654"/>
    <w:rsid w:val="00FA3473"/>
    <w:rsid w:val="00FA723B"/>
    <w:rsid w:val="00FB0C54"/>
    <w:rsid w:val="00FD4783"/>
    <w:rsid w:val="00FF0AD3"/>
    <w:rsid w:val="00FF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5F36"/>
  <w15:chartTrackingRefBased/>
  <w15:docId w15:val="{6F8ED547-1DC4-4881-BE38-08786D35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0F3BA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57"/>
    <w:pPr>
      <w:ind w:left="720"/>
      <w:contextualSpacing/>
    </w:pPr>
  </w:style>
  <w:style w:type="paragraph" w:styleId="BalloonText">
    <w:name w:val="Balloon Text"/>
    <w:basedOn w:val="Normal"/>
    <w:link w:val="BalloonTextChar"/>
    <w:uiPriority w:val="99"/>
    <w:semiHidden/>
    <w:unhideWhenUsed/>
    <w:rsid w:val="00D53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DA1"/>
    <w:rPr>
      <w:rFonts w:ascii="Segoe UI" w:hAnsi="Segoe UI" w:cs="Segoe UI"/>
      <w:sz w:val="18"/>
      <w:szCs w:val="18"/>
    </w:rPr>
  </w:style>
  <w:style w:type="paragraph" w:customStyle="1" w:styleId="Level1">
    <w:name w:val="Level 1"/>
    <w:rsid w:val="00A832AE"/>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Level2">
    <w:name w:val="Level 2"/>
    <w:rsid w:val="00A832AE"/>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3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2AE"/>
  </w:style>
  <w:style w:type="paragraph" w:styleId="Header">
    <w:name w:val="header"/>
    <w:basedOn w:val="Normal"/>
    <w:link w:val="HeaderChar"/>
    <w:uiPriority w:val="99"/>
    <w:unhideWhenUsed/>
    <w:rsid w:val="003D1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339"/>
  </w:style>
  <w:style w:type="paragraph" w:customStyle="1" w:styleId="CaseName">
    <w:name w:val="Case Name"/>
    <w:basedOn w:val="Normal"/>
    <w:qFormat/>
    <w:rsid w:val="003816CC"/>
    <w:pPr>
      <w:keepNext/>
      <w:keepLines/>
      <w:widowControl w:val="0"/>
      <w:autoSpaceDE w:val="0"/>
      <w:autoSpaceDN w:val="0"/>
      <w:adjustRightInd w:val="0"/>
      <w:spacing w:before="320" w:after="0" w:line="288" w:lineRule="auto"/>
      <w:jc w:val="center"/>
      <w:outlineLvl w:val="3"/>
    </w:pPr>
    <w:rPr>
      <w:rFonts w:ascii="Garamond" w:eastAsiaTheme="minorEastAsia" w:hAnsi="Garamond" w:cs="Times"/>
      <w:b/>
      <w:bCs/>
      <w:sz w:val="26"/>
      <w:szCs w:val="26"/>
      <w:lang w:eastAsia="ja-JP"/>
    </w:rPr>
  </w:style>
  <w:style w:type="paragraph" w:customStyle="1" w:styleId="Citation">
    <w:name w:val="Citation"/>
    <w:basedOn w:val="Normal"/>
    <w:qFormat/>
    <w:rsid w:val="003816CC"/>
    <w:pPr>
      <w:keepNext/>
      <w:keepLines/>
      <w:widowControl w:val="0"/>
      <w:autoSpaceDE w:val="0"/>
      <w:autoSpaceDN w:val="0"/>
      <w:adjustRightInd w:val="0"/>
      <w:spacing w:line="288" w:lineRule="auto"/>
      <w:contextualSpacing/>
      <w:jc w:val="center"/>
    </w:pPr>
    <w:rPr>
      <w:rFonts w:ascii="Garamond" w:eastAsiaTheme="minorEastAsia" w:hAnsi="Garamond" w:cs="Times"/>
      <w:sz w:val="26"/>
      <w:szCs w:val="26"/>
      <w:lang w:eastAsia="ja-JP"/>
    </w:rPr>
  </w:style>
  <w:style w:type="paragraph" w:customStyle="1" w:styleId="JudgesName">
    <w:name w:val="Judge's Name"/>
    <w:basedOn w:val="Normal"/>
    <w:next w:val="Normal"/>
    <w:qFormat/>
    <w:rsid w:val="003816CC"/>
    <w:pPr>
      <w:keepNext/>
      <w:spacing w:before="160" w:after="0" w:line="288" w:lineRule="auto"/>
    </w:pPr>
    <w:rPr>
      <w:rFonts w:ascii="Garamond" w:eastAsiaTheme="minorEastAsia" w:hAnsi="Garamond"/>
      <w:sz w:val="26"/>
      <w:szCs w:val="24"/>
      <w:lang w:eastAsia="ja-JP"/>
    </w:rPr>
  </w:style>
  <w:style w:type="character" w:styleId="FootnoteReference">
    <w:name w:val="footnote reference"/>
    <w:basedOn w:val="DefaultParagraphFont"/>
    <w:uiPriority w:val="99"/>
    <w:unhideWhenUsed/>
    <w:rsid w:val="003816CC"/>
    <w:rPr>
      <w:b/>
      <w:vertAlign w:val="superscript"/>
    </w:rPr>
  </w:style>
  <w:style w:type="paragraph" w:customStyle="1" w:styleId="FootnoteTextProp">
    <w:name w:val="Footnote Text Prop"/>
    <w:basedOn w:val="FootnoteText"/>
    <w:qFormat/>
    <w:rsid w:val="003816CC"/>
    <w:pPr>
      <w:spacing w:line="288" w:lineRule="auto"/>
    </w:pPr>
    <w:rPr>
      <w:rFonts w:ascii="Garamond" w:eastAsiaTheme="minorEastAsia" w:hAnsi="Garamond"/>
      <w:szCs w:val="24"/>
      <w:lang w:eastAsia="ja-JP"/>
    </w:rPr>
  </w:style>
  <w:style w:type="paragraph" w:customStyle="1" w:styleId="QuestionsBlockIndent">
    <w:name w:val="Questions Block Indent"/>
    <w:basedOn w:val="BodyTextIndent"/>
    <w:qFormat/>
    <w:rsid w:val="003816CC"/>
    <w:pPr>
      <w:spacing w:after="0" w:line="288" w:lineRule="auto"/>
      <w:ind w:left="720"/>
    </w:pPr>
    <w:rPr>
      <w:rFonts w:ascii="Garamond" w:eastAsiaTheme="minorEastAsia" w:hAnsi="Garamond"/>
      <w:sz w:val="26"/>
      <w:szCs w:val="24"/>
      <w:lang w:eastAsia="ja-JP"/>
    </w:rPr>
  </w:style>
  <w:style w:type="paragraph" w:styleId="FootnoteText">
    <w:name w:val="footnote text"/>
    <w:basedOn w:val="Normal"/>
    <w:link w:val="FootnoteTextChar"/>
    <w:uiPriority w:val="99"/>
    <w:semiHidden/>
    <w:unhideWhenUsed/>
    <w:rsid w:val="003816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16CC"/>
    <w:rPr>
      <w:sz w:val="20"/>
      <w:szCs w:val="20"/>
    </w:rPr>
  </w:style>
  <w:style w:type="paragraph" w:styleId="BodyTextIndent">
    <w:name w:val="Body Text Indent"/>
    <w:basedOn w:val="Normal"/>
    <w:link w:val="BodyTextIndentChar"/>
    <w:uiPriority w:val="99"/>
    <w:semiHidden/>
    <w:unhideWhenUsed/>
    <w:rsid w:val="003816CC"/>
    <w:pPr>
      <w:spacing w:after="120"/>
      <w:ind w:left="360"/>
    </w:pPr>
  </w:style>
  <w:style w:type="character" w:customStyle="1" w:styleId="BodyTextIndentChar">
    <w:name w:val="Body Text Indent Char"/>
    <w:basedOn w:val="DefaultParagraphFont"/>
    <w:link w:val="BodyTextIndent"/>
    <w:uiPriority w:val="99"/>
    <w:semiHidden/>
    <w:rsid w:val="003816CC"/>
  </w:style>
  <w:style w:type="character" w:customStyle="1" w:styleId="Heading6Char">
    <w:name w:val="Heading 6 Char"/>
    <w:basedOn w:val="DefaultParagraphFont"/>
    <w:link w:val="Heading6"/>
    <w:uiPriority w:val="9"/>
    <w:rsid w:val="000F3BAA"/>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343725">
      <w:bodyDiv w:val="1"/>
      <w:marLeft w:val="0"/>
      <w:marRight w:val="0"/>
      <w:marTop w:val="0"/>
      <w:marBottom w:val="0"/>
      <w:divBdr>
        <w:top w:val="none" w:sz="0" w:space="0" w:color="auto"/>
        <w:left w:val="none" w:sz="0" w:space="0" w:color="auto"/>
        <w:bottom w:val="none" w:sz="0" w:space="0" w:color="auto"/>
        <w:right w:val="none" w:sz="0" w:space="0" w:color="auto"/>
      </w:divBdr>
      <w:divsChild>
        <w:div w:id="643320456">
          <w:marLeft w:val="0"/>
          <w:marRight w:val="0"/>
          <w:marTop w:val="0"/>
          <w:marBottom w:val="240"/>
          <w:divBdr>
            <w:top w:val="none" w:sz="0" w:space="0" w:color="auto"/>
            <w:left w:val="none" w:sz="0" w:space="0" w:color="auto"/>
            <w:bottom w:val="none" w:sz="0" w:space="0" w:color="auto"/>
            <w:right w:val="none" w:sz="0" w:space="0" w:color="auto"/>
          </w:divBdr>
        </w:div>
        <w:div w:id="2089879475">
          <w:marLeft w:val="0"/>
          <w:marRight w:val="0"/>
          <w:marTop w:val="0"/>
          <w:marBottom w:val="0"/>
          <w:divBdr>
            <w:top w:val="none" w:sz="0" w:space="0" w:color="auto"/>
            <w:left w:val="none" w:sz="0" w:space="0" w:color="auto"/>
            <w:bottom w:val="none" w:sz="0" w:space="0" w:color="auto"/>
            <w:right w:val="none" w:sz="0" w:space="0" w:color="auto"/>
          </w:divBdr>
          <w:divsChild>
            <w:div w:id="380596805">
              <w:marLeft w:val="0"/>
              <w:marRight w:val="0"/>
              <w:marTop w:val="0"/>
              <w:marBottom w:val="0"/>
              <w:divBdr>
                <w:top w:val="none" w:sz="0" w:space="0" w:color="auto"/>
                <w:left w:val="none" w:sz="0" w:space="0" w:color="auto"/>
                <w:bottom w:val="none" w:sz="0" w:space="0" w:color="auto"/>
                <w:right w:val="none" w:sz="0" w:space="0" w:color="auto"/>
              </w:divBdr>
              <w:divsChild>
                <w:div w:id="18859417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3FD47-CDEA-47D1-88D3-0B897A8A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2813</Words>
  <Characters>16038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Altman</dc:creator>
  <cp:keywords/>
  <dc:description/>
  <cp:lastModifiedBy>Daniel Klerman</cp:lastModifiedBy>
  <cp:revision>5</cp:revision>
  <cp:lastPrinted>2018-11-21T23:54:00Z</cp:lastPrinted>
  <dcterms:created xsi:type="dcterms:W3CDTF">2018-12-05T05:08:00Z</dcterms:created>
  <dcterms:modified xsi:type="dcterms:W3CDTF">2018-12-06T05:32:00Z</dcterms:modified>
</cp:coreProperties>
</file>